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Title Page</w:t>
      </w:r>
    </w:p>
    <w:p>
      <w:pPr>
        <w:pStyle w:val="Heading2"/>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(Independent Financial Risk &amp; Model Validation Professional).</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Corresponding author.</w:t>
      </w:r>
      <w:r>
        <w:t xml:space="preserve"> Phillip Wikes, info@jrsstandard.com.</w:t>
      </w:r>
    </w:p>
    <w:p>
      <w:pPr>
        <w:spacing w:after="140"/>
      </w:pPr>
      <w:r>
        <w:rPr>
          <w:b/>
        </w:rPr>
        <w:t xml:space="preserve">Affiliations.</w:t>
      </w:r>
      <w:r>
        <w:t xml:space="preserve"> Neither author holds an institutional affiliation. Both contributed in a personal professional capacity; the descriptors in the byline identify professional standing, not institutional affiliation.</w:t>
      </w:r>
    </w:p>
    <w:p>
      <w:pPr>
        <w:spacing w:after="140"/>
      </w:pPr>
      <w:r>
        <w:rPr>
          <w:b/>
        </w:rPr>
        <w:t xml:space="preserve">Funding.</w:t>
      </w:r>
      <w:r>
        <w:t xml:space="preserve"> No external funding was received. No participant was compensated.</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Style w:val="Heading2"/>
        <w:spacing w:after="140"/>
      </w:pPr>
      <w:r>
        <w:t xml:space="preserve">Acknowledgments</w:t>
      </w:r>
    </w:p>
    <w:p>
      <w:pPr>
        <w:spacing w:after="140"/>
      </w:pPr>
      <w:r>
        <w:t xml:space="preserve">The detection panel, 16 independent experts across 11 countries and 5 continents, each read the full 24-record corpus cold, blind to the reference classification, and returned 384 graded judgments. This paper's result is theirs. The reliability study, 25 raters, eight invited and seventeen enrolled through the open review page, recorded labels on the shared record set. Twenty-two of them, eight invited and fourteen open-enrolment raters, worked under the five-condition instrument and are the analysed sample behind the coefficients in Section 6.5; the other three open-enrolment raters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The comparison study, 20 independent experts, completed the same corpus under the design described in Section 5 without knowing what the comparison was testing; their work is reported in its own paper.</w:t>
      </w:r>
    </w:p>
    <w:p>
      <w:pPr>
        <w:spacing w:after="140"/>
      </w:pPr>
      <w:r>
        <w:t xml:space="preserve">Those three groups comprise 61 participations held by 58 distinct people: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and no contributor has done so. Reviewers who have not recorded an election are counted in every figure and are not named.</w:t>
      </w:r>
    </w:p>
    <w:p>
      <w:pPr>
        <w:spacing w:after="140"/>
      </w:pPr>
      <w:r>
        <w:rPr>
          <w:b/>
        </w:rPr>
        <w:t xml:space="preserve">Named contributors.</w:t>
      </w:r>
      <w:r>
        <w:t xml:space="preserve"> Recognition is by each contributor's own election, and each name and description below stands as that person recorded it. Thirty-two contributors elected to be named:</w:t>
      </w:r>
    </w:p>
    <w:p>
      <w:pPr>
        <w:numPr>
          <w:ilvl w:val="0"/>
          <w:numId w:val="1"/>
        </w:numPr>
        <w:spacing w:after="60"/>
      </w:pPr>
      <w:r>
        <w:t xml:space="preserve">Adesh Sharma, Data and AI Governance Leader | IAPP AIGP CIPT; Digital Frontier Partners</w:t>
      </w:r>
    </w:p>
    <w:p>
      <w:pPr>
        <w:numPr>
          <w:ilvl w:val="0"/>
          <w:numId w:val="1"/>
        </w:numPr>
        <w:spacing w:after="60"/>
      </w:pPr>
      <w:r>
        <w:t xml:space="preserve">Andres Lage Freire, Operational AI Governance Lead &amp; Responsible AI Architect; Independent Consultant</w:t>
      </w:r>
    </w:p>
    <w:p>
      <w:pPr>
        <w:numPr>
          <w:ilvl w:val="0"/>
          <w:numId w:val="1"/>
        </w:numPr>
        <w:spacing w:after="60"/>
      </w:pPr>
      <w:r>
        <w:t xml:space="preserve">Andrey Ekhmenin, Founder, ANDEKS™; Independent Governance Assessment and Diagnostics</w:t>
      </w:r>
    </w:p>
    <w:p>
      <w:pPr>
        <w:numPr>
          <w:ilvl w:val="0"/>
          <w:numId w:val="1"/>
        </w:numPr>
        <w:spacing w:after="60"/>
      </w:pPr>
      <w:r>
        <w:t xml:space="preserve">Andrzej Skulski, Founder | AI Governance &amp; Decision Systems; Dom Ciszy – Resonance Lab</w:t>
      </w:r>
    </w:p>
    <w:p>
      <w:pPr>
        <w:numPr>
          <w:ilvl w:val="0"/>
          <w:numId w:val="1"/>
        </w:numPr>
        <w:spacing w:after="60"/>
      </w:pPr>
      <w:r>
        <w:t xml:space="preserve">Boris Khazin, AI Governance, Digital Risk and GRC leader; ClearView MRI; ex-EPAM Global Head of DRM/GRC; Khazin Consulting LLC</w:t>
      </w:r>
    </w:p>
    <w:p>
      <w:pPr>
        <w:numPr>
          <w:ilvl w:val="0"/>
          <w:numId w:val="1"/>
        </w:numPr>
        <w:spacing w:after="60"/>
      </w:pPr>
      <w:r>
        <w:t xml:space="preserve">Candid Opris, Founder and Managing Partner, Opris &amp; Associates Inc.; two decades in AI and data governance and digital trust</w:t>
      </w:r>
    </w:p>
    <w:p>
      <w:pPr>
        <w:numPr>
          <w:ilvl w:val="0"/>
          <w:numId w:val="1"/>
        </w:numPr>
        <w:spacing w:after="60"/>
      </w:pPr>
      <w:r>
        <w:t xml:space="preserve">Donavine Smith, Board &amp; Executive Advisor | Frontier AI Strategy &amp; Governance; Independent</w:t>
      </w:r>
    </w:p>
    <w:p>
      <w:pPr>
        <w:numPr>
          <w:ilvl w:val="0"/>
          <w:numId w:val="1"/>
        </w:numPr>
        <w:spacing w:after="60"/>
      </w:pPr>
      <w:r>
        <w:t xml:space="preserve">Dr. Eric J. W. Orlowski, AI Governance Specialist, Ethnographer, Tech Policy Researcher; Research Fellow, NUS AI Institute; PhD, UCL</w:t>
      </w:r>
    </w:p>
    <w:p>
      <w:pPr>
        <w:numPr>
          <w:ilvl w:val="0"/>
          <w:numId w:val="1"/>
        </w:numPr>
        <w:spacing w:after="60"/>
      </w:pPr>
      <w:r>
        <w:t xml:space="preserve">Dr. Gabriela Bar, attorney at law, AI ethics advisor; Gabriela Bar Law &amp; AI</w:t>
      </w:r>
    </w:p>
    <w:p>
      <w:pPr>
        <w:numPr>
          <w:ilvl w:val="0"/>
          <w:numId w:val="1"/>
        </w:numPr>
        <w:spacing w:after="60"/>
      </w:pPr>
      <w:r>
        <w:t xml:space="preserve">Dr. Nitin Deshpande, Chief Human Resources Officer; Cooper Corporation Pvt Limited</w:t>
      </w:r>
    </w:p>
    <w:p>
      <w:pPr>
        <w:numPr>
          <w:ilvl w:val="0"/>
          <w:numId w:val="1"/>
        </w:numPr>
        <w:spacing w:after="60"/>
      </w:pPr>
      <w:r>
        <w:t xml:space="preserve">Dr. Sharon Licqurish, PhD, CEO, Chief Scientist and AI Governance Architect, AIIP; Ontocore Licencing Authority LLC</w:t>
      </w:r>
    </w:p>
    <w:p>
      <w:pPr>
        <w:numPr>
          <w:ilvl w:val="0"/>
          <w:numId w:val="1"/>
        </w:numPr>
        <w:spacing w:after="60"/>
      </w:pPr>
      <w:r>
        <w:t xml:space="preserve">Franciscus C Schouten, AI Governance and Assurance; The AI Non-Delegation Doctrine</w:t>
      </w:r>
    </w:p>
    <w:p>
      <w:pPr>
        <w:numPr>
          <w:ilvl w:val="0"/>
          <w:numId w:val="1"/>
        </w:numPr>
        <w:spacing w:after="60"/>
      </w:pPr>
      <w:r>
        <w:t xml:space="preserve">Gabriela Cortez, Education and Outreach/Intake; Maryland Commission on Civil Rights</w:t>
      </w:r>
    </w:p>
    <w:p>
      <w:pPr>
        <w:numPr>
          <w:ilvl w:val="0"/>
          <w:numId w:val="1"/>
        </w:numPr>
        <w:spacing w:after="60"/>
      </w:pPr>
      <w:r>
        <w:t xml:space="preserve">Greg Searle, AI Governance and Model Behaviour Researcher; Anypoint Pty Ltd</w:t>
      </w:r>
    </w:p>
    <w:p>
      <w:pPr>
        <w:numPr>
          <w:ilvl w:val="0"/>
          <w:numId w:val="1"/>
        </w:numPr>
        <w:spacing w:after="60"/>
      </w:pPr>
      <w:r>
        <w:t xml:space="preserve">Hekim Colpan, AI Governance and Compliance Manager | Data Protection Manager | ISO/IEC 42001 Auditor</w:t>
      </w:r>
    </w:p>
    <w:p>
      <w:pPr>
        <w:numPr>
          <w:ilvl w:val="0"/>
          <w:numId w:val="1"/>
        </w:numPr>
        <w:spacing w:after="60"/>
      </w:pPr>
      <w:r>
        <w:t xml:space="preserve">Jake McDonough, AI Governance; SAEONYX Global Holdings LLC</w:t>
      </w:r>
    </w:p>
    <w:p>
      <w:pPr>
        <w:numPr>
          <w:ilvl w:val="0"/>
          <w:numId w:val="1"/>
        </w:numPr>
        <w:spacing w:after="60"/>
      </w:pPr>
      <w:r>
        <w:t xml:space="preserve">Jean-Luc Adade, Regional IT Leader, West, Central and North Africa; IT governance and digital transformation</w:t>
      </w:r>
    </w:p>
    <w:p>
      <w:pPr>
        <w:numPr>
          <w:ilvl w:val="0"/>
          <w:numId w:val="1"/>
        </w:numPr>
        <w:spacing w:after="60"/>
      </w:pPr>
      <w:r>
        <w:t xml:space="preserve">Joseph Mungai, AI Governance and public policy researcher; Independent Researcher, Kenya</w:t>
      </w:r>
    </w:p>
    <w:p>
      <w:pPr>
        <w:numPr>
          <w:ilvl w:val="0"/>
          <w:numId w:val="1"/>
        </w:numPr>
        <w:spacing w:after="60"/>
      </w:pPr>
      <w:r>
        <w:t xml:space="preserve">MacKenzie McCowan, AI Governance Specialist, PhD candidate, Lecturer; Atomi; The University of Sydney; Avondale University</w:t>
      </w:r>
    </w:p>
    <w:p>
      <w:pPr>
        <w:numPr>
          <w:ilvl w:val="0"/>
          <w:numId w:val="1"/>
        </w:numPr>
        <w:spacing w:after="60"/>
      </w:pPr>
      <w:r>
        <w:t xml:space="preserve">Mostafa Mahmoudi, AI Governance Researcher; Founder and Director, Iran Tech Diplomacy Institute; PhD candidate, University of Tehran</w:t>
      </w:r>
    </w:p>
    <w:p>
      <w:pPr>
        <w:numPr>
          <w:ilvl w:val="0"/>
          <w:numId w:val="1"/>
        </w:numPr>
        <w:spacing w:after="60"/>
      </w:pPr>
      <w:r>
        <w:t xml:space="preserve">Muhammad Dauda, Programme leadership, sustainability and governance; UN SDSN Youth Nigeria; Miva Open University; PgMP</w:t>
      </w:r>
    </w:p>
    <w:p>
      <w:pPr>
        <w:numPr>
          <w:ilvl w:val="0"/>
          <w:numId w:val="1"/>
        </w:numPr>
        <w:spacing w:after="60"/>
      </w:pPr>
      <w:r>
        <w:t xml:space="preserve">Nicholas Evans, AI Governance and Runtime Auditor; adversarial and non-adversarial testing; ex-USMC</w:t>
      </w:r>
    </w:p>
    <w:p>
      <w:pPr>
        <w:numPr>
          <w:ilvl w:val="0"/>
          <w:numId w:val="1"/>
        </w:numPr>
        <w:spacing w:after="60"/>
      </w:pPr>
      <w:r>
        <w:t xml:space="preserve">Nigel Hee, AI Ethics, Safety and Governance; University of Glasgow</w:t>
      </w:r>
    </w:p>
    <w:p>
      <w:pPr>
        <w:numPr>
          <w:ilvl w:val="0"/>
          <w:numId w:val="1"/>
        </w:numPr>
        <w:spacing w:after="60"/>
      </w:pPr>
      <w:r>
        <w:t xml:space="preserve">Olabanji Lawal, Operations and records management; ALTV</w:t>
      </w:r>
    </w:p>
    <w:p>
      <w:pPr>
        <w:numPr>
          <w:ilvl w:val="0"/>
          <w:numId w:val="1"/>
        </w:numPr>
        <w:spacing w:after="60"/>
      </w:pPr>
      <w:r>
        <w:t xml:space="preserve">Priyam Dhamankar, Ethics and Compliance Leader, Cummins India Limited; 17+ years legal, compliance and investigations</w:t>
      </w:r>
    </w:p>
    <w:p>
      <w:pPr>
        <w:numPr>
          <w:ilvl w:val="0"/>
          <w:numId w:val="1"/>
        </w:numPr>
        <w:spacing w:after="60"/>
      </w:pPr>
      <w:r>
        <w:t xml:space="preserve">Rahul Potdar, Independent Director; Corporate Governance, Risk Management and ESG Strategy; Board Adviser; Leontra Technologies; IIM Raipur</w:t>
      </w:r>
    </w:p>
    <w:p>
      <w:pPr>
        <w:numPr>
          <w:ilvl w:val="0"/>
          <w:numId w:val="1"/>
        </w:numPr>
        <w:spacing w:after="60"/>
      </w:pPr>
      <w:r>
        <w:t xml:space="preserve">Sagarika Banerjee, AI Governance and Software QA Leader; ISO/IEC 42001, NIST AI RMF; on sabbatical until March 2027</w:t>
      </w:r>
    </w:p>
    <w:p>
      <w:pPr>
        <w:numPr>
          <w:ilvl w:val="0"/>
          <w:numId w:val="1"/>
        </w:numPr>
        <w:spacing w:after="60"/>
      </w:pPr>
      <w:r>
        <w:t xml:space="preserve">Saurabh Nanda, General Manager, APAC; healthcare</w:t>
      </w:r>
    </w:p>
    <w:p>
      <w:pPr>
        <w:numPr>
          <w:ilvl w:val="0"/>
          <w:numId w:val="1"/>
        </w:numPr>
        <w:spacing w:after="60"/>
      </w:pPr>
      <w:r>
        <w:t xml:space="preserve">Sidharth Borah, Advocate, High Court of Delhi; Partner, Gurinder and Partners</w:t>
      </w:r>
    </w:p>
    <w:p>
      <w:pPr>
        <w:numPr>
          <w:ilvl w:val="0"/>
          <w:numId w:val="1"/>
        </w:numPr>
        <w:spacing w:after="60"/>
      </w:pPr>
      <w:r>
        <w:t xml:space="preserve">Stacyann Young, Public records and FOIL practice; Independent Researcher</w:t>
      </w:r>
    </w:p>
    <w:p>
      <w:pPr>
        <w:numPr>
          <w:ilvl w:val="0"/>
          <w:numId w:val="1"/>
        </w:numPr>
        <w:spacing w:after="60"/>
      </w:pPr>
      <w:r>
        <w:t xml:space="preserve">SungSoo In, Independent Researcher; Founder, Athena Governance Architecture</w:t>
      </w:r>
    </w:p>
    <w:p>
      <w:pPr>
        <w:numPr>
          <w:ilvl w:val="0"/>
          <w:numId w:val="1"/>
        </w:numPr>
        <w:spacing w:after="60"/>
      </w:pPr>
      <w:r>
        <w:t xml:space="preserve">Wendy Ann Martel, Founder and Strategic Advisor, Data, Privacy &amp; AI Governance; Evata Consulting</w:t>
      </w:r>
    </w:p>
    <w:p>
      <w:pPr>
        <w:spacing w:after="140"/>
      </w:pPr>
      <w:r>
        <w:t xml:space="preserve">Five further contributors elected not to be named. Their judgments are counted in every figure reported here and they appear nowhere by name.</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