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Title Page</w:t>
      </w:r>
    </w:p>
    <w:p>
      <w:pPr>
        <w:pStyle w:val="Heading2"/>
        <w:spacing w:after="140"/>
      </w:pPr>
      <w:r>
        <w:t xml:space="preserve">Detectability of Decision Reconstruction Risk in AI-Generated Decision Records: An International Expert Study</w:t>
      </w:r>
    </w:p>
    <w:p>
      <w:pPr>
        <w:spacing w:after="140"/>
      </w:pPr>
      <w:r>
        <w:rPr>
          <w:b/>
        </w:rPr>
        <w:t xml:space="preserve">Authors.</w:t>
      </w:r>
      <w:r>
        <w:t xml:space="preserve"> Phillip Wikes (Creator of the Justification Review Standard; former Lead Civil Rights Officer, Maryland Commission on Civil Rights) and Ubayet Hossain, FRM (Independent Financial Risk &amp; Model Validation Professional).</w:t>
      </w:r>
    </w:p>
    <w:p>
      <w:pPr>
        <w:spacing w:after="140"/>
      </w:pPr>
      <w:r>
        <w:rPr>
          <w:b/>
        </w:rPr>
        <w:t xml:space="preserve">Author contributions.</w:t>
      </w:r>
      <w:r>
        <w:t xml:space="preserve"> P.W. conceived Decision Reconstruction Risk and the JRS review method, constructed the validation corpus, wrote the author-side intended classification of each record, assembled the international reviewer panel, and led the writing. U.H. designed the reliability and validation framework: the reference-panel design, the chance-corrected agreement statistics, and the pre-registered decision floors and analysis plan. Neither author took part in the blind reproduction of the reference classification, and neither author graded any record in the detection panel.</w:t>
      </w:r>
    </w:p>
    <w:p>
      <w:pPr>
        <w:spacing w:after="140"/>
      </w:pPr>
      <w:r>
        <w:rPr>
          <w:b/>
        </w:rPr>
        <w:t xml:space="preserve">Corresponding author.</w:t>
      </w:r>
      <w:r>
        <w:t xml:space="preserve"> [REQUIRED_ENV_PARAM] name, institutional or postal address, and email for the corresponding author. Not recorded in this repository; supply before upload.</w:t>
      </w:r>
    </w:p>
    <w:p>
      <w:pPr>
        <w:spacing w:after="140"/>
      </w:pPr>
      <w:r>
        <w:rPr>
          <w:b/>
        </w:rPr>
        <w:t xml:space="preserve">Affiliations.</w:t>
      </w:r>
      <w:r>
        <w:t xml:space="preserve"> [REQUIRED_ENV_PARAM] the affiliation each author wishes to appear in print. The byline above carries the descriptors used in the manuscript, which are not institutional affiliations.</w:t>
      </w:r>
    </w:p>
    <w:p>
      <w:pPr>
        <w:spacing w:after="140"/>
      </w:pPr>
      <w:r>
        <w:rPr>
          <w:b/>
        </w:rPr>
        <w:t xml:space="preserve">Funding.</w:t>
      </w:r>
      <w:r>
        <w:t xml:space="preserve"> No external funding was received. No participant was compensated.</w:t>
      </w:r>
    </w:p>
    <w:p>
      <w:pPr>
        <w:spacing w:after="140"/>
      </w:pPr>
      <w:r>
        <w:rPr>
          <w:b/>
        </w:rPr>
        <w:t xml:space="preserve">Competing interests.</w:t>
      </w:r>
      <w:r>
        <w:t xml:space="preserve"> Declared in full in Section 9. The first author created the construct and the instrument under study and would benefit from its adoption. That is a material conflict and it is not mitigated by the design alone; Section 9 states what was done about it and what was not.</w:t>
      </w:r>
    </w:p>
    <w:p>
      <w:pPr>
        <w:pStyle w:val="Heading2"/>
        <w:spacing w:after="140"/>
      </w:pPr>
      <w:r>
        <w:t xml:space="preserve">Acknowledgments</w:t>
      </w:r>
    </w:p>
    <w:p>
      <w:pPr>
        <w:spacing w:after="140"/>
      </w:pPr>
      <w:r>
        <w:rPr>
          <w:b/>
        </w:rPr>
        <w:t xml:space="preserve">The detection panel, 16 independent experts across 11 countries and 5 continents</w:t>
      </w:r>
      <w:r>
        <w:t xml:space="preserve">, each read the full 24-record corpus cold, blind to the reference classification, and returned 384 graded judgments. This paper's result is theirs. </w:t>
      </w:r>
      <w:r>
        <w:rPr>
          <w:b/>
        </w:rPr>
        <w:t xml:space="preserve">The reliability study, 25 raters</w:t>
      </w:r>
      <w:r>
        <w:t xml:space="preserve">, eight invited and seventeen enrolled through the open review page, recorded labels on the shared record set. Twenty-two of them, eight invited and fourteen open-enrolment raters, worked under the five-condition instrument and are the analysed sample behind the coefficients in Section 6.5; the other three open-enrolment raters worked under the unstructured baseline prompt and their labels are excluded from those coefficients by the inclusion rule stated in that section. All 25 are credited here because all 25 did the work. Appendix B exists only because the five-condition raters recorded a judgment on each of the five conditions separately rather than only the overall read. </w:t>
      </w:r>
      <w:r>
        <w:rPr>
          <w:b/>
        </w:rPr>
        <w:t xml:space="preserve">The comparison study, 20 independent experts</w:t>
      </w:r>
      <w:r>
        <w:t xml:space="preserve">, completed the same corpus under the design described in Section 5 without knowing what the comparison was testing; their work is reported in its own paper.</w:t>
      </w:r>
    </w:p>
    <w:p>
      <w:pPr>
        <w:spacing w:after="140"/>
      </w:pPr>
      <w:r>
        <w:t xml:space="preserve">Those three groups comprise 61 participations held by </w:t>
      </w:r>
      <w:r>
        <w:rPr>
          <w:b/>
        </w:rPr>
        <w:t xml:space="preserve">58 distinct people</w:t>
      </w:r>
      <w:r>
        <w:t xml:space="preserve">: three of the reliability raters are the same individuals as three members of the detection panel, each holding a separate code in each study. All 58 worked unpaid, in a personal capacity, with nothing at stake in the outcome. Programme-level participation figures are recorded in the study repository rather than here, because they are acknowledgment and not results: the detection finding in Section 6 rests on the sixteen panel members and their 384 graded reads and on nothing else.</w:t>
      </w:r>
    </w:p>
    <w:p>
      <w:pPr>
        <w:spacing w:after="140"/>
      </w:pPr>
      <w:r>
        <w:t xml:space="preserve">Reviewers are recognised as named contributors with their consent; none is a co-author of this paper. Contributors may withdraw their name at any time, and no contributor has done so. Other reviewers who have not recorded an election are counted in every figure and are not named.</w:t>
      </w:r>
    </w:p>
    <w:p>
      <w:pPr>
        <w:spacing w:after="140"/>
      </w:pPr>
      <w:r>
        <w:rPr>
          <w:b/>
        </w:rPr>
        <w:t xml:space="preserve">Named contributors.</w:t>
      </w:r>
      <w:r>
        <w:t xml:space="preserve"> Recognition is by each contributor's own election, recorded through the confirmation mechanism described in the data availability statement, and each name and description below stands as that person entered it. Thirty-two contributors to this programme have confirmed and twenty-seven elected to be named. Gabriela Cortez did not complete the confirmation link and is named below with her permission, on the author’s record of her participation as a panel member. The twenty-eight names are:</w:t>
      </w:r>
    </w:p>
    <w:p>
      <w:pPr>
        <w:numPr>
          <w:ilvl w:val="0"/>
          <w:numId w:val="1"/>
        </w:numPr>
        <w:spacing w:after="60"/>
      </w:pPr>
      <w:r>
        <w:t xml:space="preserve">Adesh Sharma, Data and AI Governance Leader | IAPP AIGP CIPT; Digital Frontier Partners</w:t>
      </w:r>
    </w:p>
    <w:p>
      <w:pPr>
        <w:numPr>
          <w:ilvl w:val="0"/>
          <w:numId w:val="1"/>
        </w:numPr>
        <w:spacing w:after="60"/>
      </w:pPr>
      <w:r>
        <w:t xml:space="preserve">Andres Lage Freire, Operational AI Governance Lead &amp; Responsible AI Architect; Independent Consultant</w:t>
      </w:r>
    </w:p>
    <w:p>
      <w:pPr>
        <w:numPr>
          <w:ilvl w:val="0"/>
          <w:numId w:val="1"/>
        </w:numPr>
        <w:spacing w:after="60"/>
      </w:pPr>
      <w:r>
        <w:t xml:space="preserve">Andrey Ekhmenin, Founder, ANDEKS™; Independent Governance Assessment and Diagnostics</w:t>
      </w:r>
    </w:p>
    <w:p>
      <w:pPr>
        <w:numPr>
          <w:ilvl w:val="0"/>
          <w:numId w:val="1"/>
        </w:numPr>
        <w:spacing w:after="60"/>
      </w:pPr>
      <w:r>
        <w:t xml:space="preserve">Andrzej Skulski, Founder | AI Governance &amp; Decision Systems; Dom Ciszy – Resonance Lab</w:t>
      </w:r>
    </w:p>
    <w:p>
      <w:pPr>
        <w:numPr>
          <w:ilvl w:val="0"/>
          <w:numId w:val="1"/>
        </w:numPr>
        <w:spacing w:after="60"/>
      </w:pPr>
      <w:r>
        <w:t xml:space="preserve">Boris Khazin, AI Governance, Digital Risk and GRC leader; ClearView MRI; ex-EPAM Global Head of DRM/GRC; Khazin Consulting LLC</w:t>
      </w:r>
    </w:p>
    <w:p>
      <w:pPr>
        <w:numPr>
          <w:ilvl w:val="0"/>
          <w:numId w:val="1"/>
        </w:numPr>
        <w:spacing w:after="60"/>
      </w:pPr>
      <w:r>
        <w:t xml:space="preserve">Candid Opris, Founder and Managing Partner, Opris &amp; Associates Inc.; two decades in AI and data governance and digital trust</w:t>
      </w:r>
    </w:p>
    <w:p>
      <w:pPr>
        <w:numPr>
          <w:ilvl w:val="0"/>
          <w:numId w:val="1"/>
        </w:numPr>
        <w:spacing w:after="60"/>
      </w:pPr>
      <w:r>
        <w:t xml:space="preserve">Donavine Smith, Board &amp; Executive Advisor | Frontier AI Strategy &amp; Governance; Independent</w:t>
      </w:r>
    </w:p>
    <w:p>
      <w:pPr>
        <w:numPr>
          <w:ilvl w:val="0"/>
          <w:numId w:val="1"/>
        </w:numPr>
        <w:spacing w:after="60"/>
      </w:pPr>
      <w:r>
        <w:t xml:space="preserve">Dr. Gabriela Bar, attorney at law, AI ethics advisor; Gabriela Bar Law &amp; AI</w:t>
      </w:r>
    </w:p>
    <w:p>
      <w:pPr>
        <w:numPr>
          <w:ilvl w:val="0"/>
          <w:numId w:val="1"/>
        </w:numPr>
        <w:spacing w:after="60"/>
      </w:pPr>
      <w:r>
        <w:t xml:space="preserve">Dr. Nitin Deshpande, Chief Human Resources Officer; Cooper Corporation Pvt Limited</w:t>
      </w:r>
    </w:p>
    <w:p>
      <w:pPr>
        <w:numPr>
          <w:ilvl w:val="0"/>
          <w:numId w:val="1"/>
        </w:numPr>
        <w:spacing w:after="60"/>
      </w:pPr>
      <w:r>
        <w:t xml:space="preserve">Dr. Sharon Licqurish, PhD, CEO, Chief Scientist and AI Governance Architect, AIIP; Ontocore Licencing Authority LLC</w:t>
      </w:r>
    </w:p>
    <w:p>
      <w:pPr>
        <w:numPr>
          <w:ilvl w:val="0"/>
          <w:numId w:val="1"/>
        </w:numPr>
        <w:spacing w:after="60"/>
      </w:pPr>
      <w:r>
        <w:t xml:space="preserve">Franciscus C Schouten, AI Governance and Assurance; The AI Non-Delegation Doctrine</w:t>
      </w:r>
    </w:p>
    <w:p>
      <w:pPr>
        <w:numPr>
          <w:ilvl w:val="0"/>
          <w:numId w:val="1"/>
        </w:numPr>
        <w:spacing w:after="60"/>
      </w:pPr>
      <w:r>
        <w:t xml:space="preserve">Gabriela Cortez, Education and Outreach/Intake; Maryland Commission on Civil Rights</w:t>
      </w:r>
    </w:p>
    <w:p>
      <w:pPr>
        <w:numPr>
          <w:ilvl w:val="0"/>
          <w:numId w:val="1"/>
        </w:numPr>
        <w:spacing w:after="60"/>
      </w:pPr>
      <w:r>
        <w:t xml:space="preserve">Greg Searle, AI Governance and Model Behaviour Researcher; Anypoint Pty Ltd</w:t>
      </w:r>
    </w:p>
    <w:p>
      <w:pPr>
        <w:numPr>
          <w:ilvl w:val="0"/>
          <w:numId w:val="1"/>
        </w:numPr>
        <w:spacing w:after="60"/>
      </w:pPr>
      <w:r>
        <w:t xml:space="preserve">Hekim Colpan, AI Governance and Compliance Manager | Data Protection Manager | ISO/IEC 42001 Auditor</w:t>
      </w:r>
    </w:p>
    <w:p>
      <w:pPr>
        <w:numPr>
          <w:ilvl w:val="0"/>
          <w:numId w:val="1"/>
        </w:numPr>
        <w:spacing w:after="60"/>
      </w:pPr>
      <w:r>
        <w:t xml:space="preserve">Jake McDonough, AI Governance; SAEONYX Global Holdings LLC</w:t>
      </w:r>
    </w:p>
    <w:p>
      <w:pPr>
        <w:numPr>
          <w:ilvl w:val="0"/>
          <w:numId w:val="1"/>
        </w:numPr>
        <w:spacing w:after="60"/>
      </w:pPr>
      <w:r>
        <w:t xml:space="preserve">Joseph Mungai, AI Governance and public policy researcher; Independent Researcher, Kenya</w:t>
      </w:r>
    </w:p>
    <w:p>
      <w:pPr>
        <w:numPr>
          <w:ilvl w:val="0"/>
          <w:numId w:val="1"/>
        </w:numPr>
        <w:spacing w:after="60"/>
      </w:pPr>
      <w:r>
        <w:t xml:space="preserve">MacKenzie McCowan, AI Governance Specialist, PhD candidate, Lecturer; Atomi; The University of Sydney; Avondale University</w:t>
      </w:r>
    </w:p>
    <w:p>
      <w:pPr>
        <w:numPr>
          <w:ilvl w:val="0"/>
          <w:numId w:val="1"/>
        </w:numPr>
        <w:spacing w:after="60"/>
      </w:pPr>
      <w:r>
        <w:t xml:space="preserve">Muhammad Dauda, Programme leadership, sustainability and governance; UN SDSN Youth Nigeria; Miva Open University; PgMP</w:t>
      </w:r>
    </w:p>
    <w:p>
      <w:pPr>
        <w:numPr>
          <w:ilvl w:val="0"/>
          <w:numId w:val="1"/>
        </w:numPr>
        <w:spacing w:after="60"/>
      </w:pPr>
      <w:r>
        <w:t xml:space="preserve">Nigel Hee, AI Ethics, Safety and Governance; University of Glasgow</w:t>
      </w:r>
    </w:p>
    <w:p>
      <w:pPr>
        <w:numPr>
          <w:ilvl w:val="0"/>
          <w:numId w:val="1"/>
        </w:numPr>
        <w:spacing w:after="60"/>
      </w:pPr>
      <w:r>
        <w:t xml:space="preserve">Olabanji Lawal, Operations and records management; ALTV</w:t>
      </w:r>
    </w:p>
    <w:p>
      <w:pPr>
        <w:numPr>
          <w:ilvl w:val="0"/>
          <w:numId w:val="1"/>
        </w:numPr>
        <w:spacing w:after="60"/>
      </w:pPr>
      <w:r>
        <w:t xml:space="preserve">Priyam Dhamankar, Ethics and Compliance Leader, Cummins India Limited; 17+ years legal, compliance and investigations</w:t>
      </w:r>
    </w:p>
    <w:p>
      <w:pPr>
        <w:numPr>
          <w:ilvl w:val="0"/>
          <w:numId w:val="1"/>
        </w:numPr>
        <w:spacing w:after="60"/>
      </w:pPr>
      <w:r>
        <w:t xml:space="preserve">Rahul Potdar, Independent Director; Corporate Governance, Risk Management and ESG Strategy; Board Adviser; Leontra Technologies; IIM Raipur</w:t>
      </w:r>
    </w:p>
    <w:p>
      <w:pPr>
        <w:numPr>
          <w:ilvl w:val="0"/>
          <w:numId w:val="1"/>
        </w:numPr>
        <w:spacing w:after="60"/>
      </w:pPr>
      <w:r>
        <w:t xml:space="preserve">Sagarika Banerjee, AI Governance and Software QA Leader; ISO/IEC 42001, NIST AI RMF; on sabbatical until March 2027</w:t>
      </w:r>
    </w:p>
    <w:p>
      <w:pPr>
        <w:numPr>
          <w:ilvl w:val="0"/>
          <w:numId w:val="1"/>
        </w:numPr>
        <w:spacing w:after="60"/>
      </w:pPr>
      <w:r>
        <w:t xml:space="preserve">Saurabh Nanda, General Manager, APAC; healthcare</w:t>
      </w:r>
    </w:p>
    <w:p>
      <w:pPr>
        <w:numPr>
          <w:ilvl w:val="0"/>
          <w:numId w:val="1"/>
        </w:numPr>
        <w:spacing w:after="60"/>
      </w:pPr>
      <w:r>
        <w:t xml:space="preserve">Sidharth Borah, Advocate, High Court of Delhi; Partner, Gurinder and Partners</w:t>
      </w:r>
    </w:p>
    <w:p>
      <w:pPr>
        <w:numPr>
          <w:ilvl w:val="0"/>
          <w:numId w:val="1"/>
        </w:numPr>
        <w:spacing w:after="60"/>
      </w:pPr>
      <w:r>
        <w:t xml:space="preserve">Stacyann Young, Public records and FOIL practice; Independent Researcher</w:t>
      </w:r>
    </w:p>
    <w:p>
      <w:pPr>
        <w:numPr>
          <w:ilvl w:val="0"/>
          <w:numId w:val="1"/>
        </w:numPr>
        <w:spacing w:after="60"/>
      </w:pPr>
      <w:r>
        <w:t xml:space="preserve">SungSoo In, Independent Researcher; Founder, Athena Governance Architecture</w:t>
      </w:r>
    </w:p>
    <w:p>
      <w:pPr>
        <w:numPr>
          <w:ilvl w:val="0"/>
          <w:numId w:val="1"/>
        </w:numPr>
        <w:spacing w:after="60"/>
      </w:pPr>
      <w:r>
        <w:t xml:space="preserve">Wendy Ann Martel, Founder and Strategic Advisor, Data, Privacy &amp; AI Governance; Evata Consulting</w:t>
      </w:r>
    </w:p>
    <w:p>
      <w:pPr>
        <w:spacing w:after="140"/>
      </w:pPr>
      <w:r>
        <w:t xml:space="preserve">Five further contributors confirmed and elected not to be named. Their judgments are counted in every figure reported here and they appear nowhere by name. Confirmations remain open, so this is a record of the elections received to date rather than of who took part.</w:t>
      </w:r>
    </w:p>
    <w:p>
      <w:pPr>
        <w:spacing w:after="140"/>
      </w:pPr>
      <w:r>
        <w:t xml:space="preserve">The reliability and validation methodology, including the pre-registered analysis plan, the choice of coefficient, and the acceptance floors applied in Section 6.5, was designed by Ubayet Hossain, FRM. Specifying those criteria before any data were examined is what allows the results in this paper to be read as tests rather than as descriptions, and it is why Section 6.5 can report a criterion as failed.</w:t>
      </w:r>
    </w:p>
    <w:p>
      <w:pPr>
        <w:spacing w:after="140"/>
      </w:pPr>
      <w:r>
        <w:t xml:space="preserve">The proportionality principle described in Section 3 was surfaced by pilot reviewer Saurabh Nanda, General Manager and APAC Business Leader (Align Technology), and is credited with his permission.</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