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CONVERSION ARCHITECTURE BRIEFING</w:t>
      </w:r>
    </w:p>
    <w:p>
      <w:pPr>
        <w:spacing w:after="140"/>
      </w:pPr>
      <w:r>
        <w:rPr>
          <w:b/>
        </w:rPr>
        <w:t xml:space="preserve">Prepared 2026-08-14. Every finding checked against the live site and the files on disk.</w:t>
      </w:r>
    </w:p>
    <w:p>
      <w:pPr>
        <w:spacing w:after="140"/>
      </w:pPr>
      <w:r>
        <w:rPr>
          <w:b/>
        </w:rPr>
        <w:t xml:space="preserve">Fixed before this was written:</w:t>
      </w:r>
      <w:r>
        <w:t xml:space="preserve"> </w:t>
      </w:r>
      <w:r>
        <w:rPr>
          <w:rFonts w:ascii="Consolas" w:hAnsi="Consolas"/>
        </w:rPr>
        <w:t xml:space="preserve">/api/checkout</w:t>
      </w:r>
      <w:r>
        <w:t xml:space="preserve"> opened with </w:t>
      </w:r>
      <w:r>
        <w:rPr>
          <w:i/>
        </w:rPr>
        <w:t xml:space="preserve">"Payment link not live yet."</w:t>
      </w:r>
      <w:r>
        <w:t xml:space="preserve"> That was the last screen before a $500 purchase, telling a General Counsel the product is unfinished. It now reads as scoping and invoicing: fixed price, purchase orders accepted, no records exchanged at that stage. Deployed and verified live. </w:t>
      </w:r>
      <w:r>
        <w:rPr>
          <w:b/>
        </w:rPr>
        <w:t xml:space="preserve">That was my copy, not a recommendation.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1. Door-level conversion</w:t>
      </w:r>
    </w:p>
    <w:p>
      <w:pPr>
        <w:spacing w:after="140"/>
      </w:pPr>
      <w:r>
        <w:rPr>
          <w:b/>
        </w:rPr>
        <w:t xml:space="preserve">The fold is currently problem, then caveat.</w:t>
      </w:r>
      <w:r>
        <w:t xml:space="preserve"> The status strip carrying "Commercial demand has not yet been established" sits </w:t>
      </w:r>
      <w:r>
        <w:rPr>
          <w:b/>
        </w:rPr>
        <w:t xml:space="preserve">above</w:t>
      </w:r>
      <w:r>
        <w:t xml:space="preserve"> the seven failure modes. A General Counsel is being told nobody buys this before they have seen what it is. Claims control is right; the placement is inverted.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Move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Why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Move the status strip below the self-assessment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Same words, same honesty. Read after they have found two modes in their own file it lands as rigour. Read before value it lands as a disclaimer on a prototype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Put the confidence interval above the modes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"16 independent experts across 11 countries, 384 graded reads, 83.9%, 95% CI 72.7 to 95.1" appears </w:t>
            </w:r>
            <w:r>
              <w:rPr>
                <w:b/>
              </w:rPr>
              <w:t xml:space="preserve">nowhere</w:t>
            </w:r>
            <w:r>
              <w:t xml:space="preserve"> on </w:t>
            </w:r>
            <w:r>
              <w:rPr>
                <w:rFonts w:ascii="Consolas" w:hAnsi="Consolas"/>
              </w:rPr>
              <w:t xml:space="preserve">/check.html</w:t>
            </w:r>
            <w:r>
              <w:t xml:space="preserve">. Nobody selling governance software publishes a CI. </w:t>
            </w:r>
            <w:r>
              <w:rPr>
                <w:b/>
              </w:rPr>
              <w:t xml:space="preserve">The interval is the credential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Kill the hour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"Run it against five closed matters in an hour" asks for an hour a GC does not have. The page already supports one record in four minutes. The copy is asking for more than the page does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Do not add a lead magnet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Ungated with nothing transmitted is the differentiator against every vendor asking for a work email. Protect it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2. Executive trust and signal architecture</w:t>
      </w:r>
    </w:p>
    <w:p>
      <w:pPr>
        <w:spacing w:after="140"/>
      </w:pPr>
      <w:r>
        <w:rPr>
          <w:b/>
        </w:rPr>
        <w:t xml:space="preserve">The structural gap: there is no page you can send to procurement.</w:t>
      </w:r>
    </w:p>
    <w:p>
      <w:pPr>
        <w:spacing w:after="140"/>
      </w:pPr>
      <w:r>
        <w:t xml:space="preserve">Verified on disk: </w:t>
      </w:r>
      <w:r>
        <w:rPr>
          <w:b/>
        </w:rPr>
        <w:t xml:space="preserve">zero</w:t>
      </w:r>
      <w:r>
        <w:t xml:space="preserve"> security, DPA, trust or terms pages. One privacy page. A buyer's next step after "interesting" is forwarding this to their own counsel, and there is nothing to forward.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Build `/engagement.html`.</w:t>
      </w:r>
      <w:r>
        <w:t xml:space="preserve"> One page, no design work required: data isolation, de-identification protocol, what is stored and what is not, retention, IP ownership of the deliverable, insurance status, standard engagement letter. </w:t>
      </w:r>
      <w:r>
        <w:rPr>
          <w:b/>
        </w:rPr>
        <w:t xml:space="preserve">This is the single highest-value page that does not exist.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Present tiers as engagements, not products.</w:t>
      </w:r>
      <w:r>
        <w:t xml:space="preserve"> Scope, fixed fee, turnaround, deliverable, in that order. Elite buyers read a fee schedule and distrust a pricing table.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"Experimental" maturity appears on 5 public pages, unframed.</w:t>
      </w:r>
      <w:r>
        <w:t xml:space="preserve"> To a governance buyer that reads </w:t>
      </w:r>
      <w:r>
        <w:rPr>
          <w:i/>
        </w:rPr>
        <w:t xml:space="preserve">prototype</w:t>
      </w:r>
      <w:r>
        <w:t xml:space="preserve">. The same word, framed as a rung on a pre-registered ladder with thresholds fixed in advance, reads as </w:t>
      </w:r>
      <w:r>
        <w:rPr>
          <w:i/>
        </w:rPr>
        <w:t xml:space="preserve">disciplined</w:t>
      </w:r>
      <w:r>
        <w:t xml:space="preserve">. One sentence wherever it appears.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Lead the Data Isolation Guarantee with the mechanism.</w:t>
      </w:r>
      <w:r>
        <w:t xml:space="preserve"> "There is no upload form on this page" is verifiable in two seconds. "We never store your data" is what everyone says.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3. Friction as asset</w:t>
      </w:r>
    </w:p>
    <w:p>
      <w:pPr>
        <w:spacing w:after="140"/>
      </w:pPr>
      <w:r>
        <w:rPr>
          <w:b/>
        </w:rPr>
        <w:t xml:space="preserve">Keep the manual scoping. It is correct at this price.</w:t>
      </w:r>
      <w:r>
        <w:t xml:space="preserve"> Self-serve card checkout at $750 would cost credibility with this buyer: it signals consumer software rather than a controlled engagement.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The friction is not the problem. The silence is.</w:t>
      </w:r>
      <w:r>
        <w:t xml:space="preserve"> A mailto has no acknowledgement and no expected response time. </w:t>
      </w:r>
      <w:r>
        <w:rPr>
          <w:b/>
        </w:rPr>
        <w:t xml:space="preserve">State the service level on the page: scope and invoice within one business day.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The missing bridge.</w:t>
      </w:r>
      <w:r>
        <w:t xml:space="preserve"> Between the free diagnostic and the $250 engagement there is nothing. Add a </w:t>
      </w:r>
      <w:r>
        <w:rPr>
          <w:b/>
        </w:rPr>
        <w:t xml:space="preserve">no-charge 20-minute scoping call that reads one record on the call.</w:t>
      </w:r>
      <w:r>
        <w:t xml:space="preserve"> Not a discovery call. That is the only step that converts someone who just found two modes in their own file.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Purchase orders and invoicing are now stated on the checkout page</w:t>
      </w:r>
      <w:r>
        <w:t xml:space="preserve">, which removes the largest procurement objection at this size.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4. Structural leaks</w:t>
      </w:r>
    </w:p>
    <w:p>
      <w:pPr>
        <w:spacing w:after="140"/>
      </w:pPr>
      <w:r>
        <w:t xml:space="preserve">Counted across the public HTML on 2026-08-14: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Leak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Measured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Why it signals indie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No entity named anywhere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"Phillip Wikes" on 65 pages</w:t>
            </w:r>
            <w:r>
              <w:t xml:space="preserve">, no practice name or registered address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 GC cannot contract with a person's name on a website. Incorporation is not required; a consistent practice name and address in the footer closes most of it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Personal mailto as the only channel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20 pages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The mailto is fine. The absence of any stated process around it is not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No terms of service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0 files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First thing enterprise legal looks for on a paid engagement touching client records, and the fastest way to lose the deal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Intake pages are </w:t>
            </w:r>
            <w:r>
              <w:rPr>
                <w:rFonts w:ascii="Consolas" w:hAnsi="Consolas"/>
              </w:rPr>
              <w:t xml:space="preserve">noindex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all three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Deliberate and correct while testing, but </w:t>
            </w:r>
            <w:r>
              <w:rPr>
                <w:b/>
              </w:rPr>
              <w:t xml:space="preserve">no inbound buyer can find them.</w:t>
            </w:r>
            <w:r>
              <w:t xml:space="preserve"> Worth re-taking now the offers are live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The one thing to do this week</w:t>
      </w:r>
    </w:p>
    <w:p>
      <w:pPr>
        <w:spacing w:after="140"/>
      </w:pPr>
      <w:r>
        <w:rPr>
          <w:b/>
        </w:rPr>
        <w:t xml:space="preserve">Build `/engagement.html`.</w:t>
      </w:r>
      <w:r>
        <w:t xml:space="preserve"> Everything else here is optimisation. That page is the difference between a General Counsel being interested and a General Counsel being able to act.</w:t>
      </w:r>
    </w:p>
    <w:p>
      <w:pPr>
        <w:pBdr>
          <w:bottom w:val="single" w:sz="6" w:space="1" w:color="AAAAAA"/>
        </w:pBdr>
      </w:pPr>
    </w:p>
    <w:p>
      <w:pPr>
        <w:spacing w:after="140"/>
      </w:pPr>
      <w:r>
        <w:rPr>
          <w:i/>
        </w:rPr>
        <w:t xml:space="preserve">Findings verified against the live site and the repository on 2026-08-14. No figure carried from memory.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