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 Quality Read for Public-Records Determinations: Convergent, Construct, and Discriminant Evidence from 32 Public Cases</w:t>
      </w:r>
    </w:p>
    <w:p>
      <w:pPr>
        <w:spacing w:after="140"/>
      </w:pPr>
      <w:r>
        <w:rPr>
          <w:b/>
        </w:rPr>
        <w:t xml:space="preserve">Stacyann Young</w:t>
      </w:r>
      <w:r>
        <w:t xml:space="preserve"> Independent Researcher</w:t>
      </w:r>
    </w:p>
    <w:p>
      <w:pPr>
        <w:spacing w:after="140"/>
      </w:pPr>
      <w:r>
        <w:rPr>
          <w:b/>
        </w:rPr>
        <w:t xml:space="preserve">Phillip Wikes</w:t>
      </w:r>
      <w:r>
        <w:t xml:space="preserve"> 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publicly available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contributed to this work in their personal professional capacities. S.Y.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Of the 7 Needs work cases carrying a contemporaneous note, 6 state that the underlying record-level basis could not be rebuilt from the source, against none of the 17 noted Ready cases, and eleven of those 17 Ready notes state the opposite outright (Fisher's exact, two-sided, p = 0.0000520). Three case-level sources carry no note and are excluded from that coding rather than assigned one.</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(6 of 8 records read as Needs work or Gap drew an adverse finding against 2 of 12 read as Ready, p = 0.0194), which is consistent with that boundary condition rather than with a weak instrument.</w:t>
      </w:r>
    </w:p>
    <w:p>
      <w:pPr>
        <w:spacing w:after="140"/>
      </w:pPr>
      <w:r>
        <w:t xml:space="preserve">A blind second read of 10 of the 32 cases by an independent reviewer agreed with the original on 7, 70.0 percent, Cohen's kappa 0.474 unweighted and 0.559 linear weighted, Gwet's AC1 0.582. All 3 disagreements were between adjacent categories. Reader dependence is therefore estimated on a subset rather than removed.</w:t>
      </w:r>
    </w:p>
    <w:p>
      <w:pPr>
        <w:spacing w:after="140"/>
      </w:pPr>
      <w:r>
        <w:t xml:space="preserve">The pilot contributes a working protocol for measuring documentation quality in a public-records programme, a completed and citable 32-case set, and preliminary evidence that the read responds to the reconstructability property it is designed to assess.</w:t>
      </w:r>
    </w:p>
    <w:p>
      <w:pPr>
        <w:spacing w:after="140"/>
      </w:pPr>
      <w:r>
        <w:t xml:space="preserve">The blind second read, its per-case answers and every coefficient reported in Section 5.7 are held in </w:t>
      </w:r>
      <w:r>
        <w:rPr>
          <w:rFonts w:ascii="Consolas" w:hAnsi="Consolas"/>
        </w:rPr>
        <w:t xml:space="preserve">Blind_Recheck_RESULT_2026-08-28.json</w:t>
      </w:r>
      <w:r>
        <w:t xml:space="preserve">, computed from the reviewer's recorded answers and the original reads by a standard-library script with no external dependency.</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by itself, establish that the resulting records are defensible.</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3"/>
        </w:numPr>
        <w:spacing w:after="60"/>
      </w:pPr>
      <w:r>
        <w:t xml:space="preserve">Can the review conditions be applied to real public-records material across document classes and jurisdictions, and do they produce a full range of reads?</w:t>
      </w:r>
    </w:p>
    <w:p>
      <w:pPr>
        <w:numPr>
          <w:ilvl w:val="0"/>
          <w:numId w:val="3"/>
        </w:numPr>
        <w:spacing w:after="60"/>
      </w:pPr>
      <w:r>
        <w:t xml:space="preserve">Where an independent government auditor has assessed the sufficiency of the same records, does the read agree?</w:t>
      </w:r>
    </w:p>
    <w:p>
      <w:pPr>
        <w:numPr>
          <w:ilvl w:val="0"/>
          <w:numId w:val="3"/>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rPr>
          <w:b/>
        </w:rPr>
        <w:t xml:space="preserve">Public material only.</w:t>
      </w:r>
      <w:r>
        <w:t xml:space="preserve"> Each case was de-identified as to any private individual, and each case carries a public citation or source URL. No internal, confidential, privileged, or otherwise nonpublic government material was used.</w:t>
      </w:r>
    </w:p>
    <w:p>
      <w:pPr>
        <w:pStyle w:val="Heading3"/>
        <w:spacing w:after="140"/>
      </w:pPr>
      <w:r>
        <w:t xml:space="preserve">4.3 Sample</w:t>
      </w:r>
    </w:p>
    <w:p>
      <w:pPr>
        <w:spacing w:after="140"/>
      </w:pPr>
      <w:r>
        <w:t xml:space="preserve">The stated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Five analyses, in the order reported.</w:t>
      </w:r>
    </w:p>
    <w:p>
      <w:pPr>
        <w:spacing w:after="140"/>
      </w:pPr>
      <w:r>
        <w:t xml:space="preserve">Convergent validity compares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32 reads were recorded by a single domain reviewer, who also recorded the outcomes, so the reads are not independent of the person assigning the outcome. Section 7 treats that as a limitation.</w:t>
      </w:r>
    </w:p>
    <w:p>
      <w:pPr>
        <w:pStyle w:val="Heading3"/>
        <w:spacing w:after="140"/>
      </w:pPr>
      <w:r>
        <w:t xml:space="preserve">4.6 Blind second read</w:t>
      </w:r>
    </w:p>
    <w:p>
      <w:pPr>
        <w:spacing w:after="140"/>
      </w:pPr>
      <w:r>
        <w:t xml:space="preserve">To estimate reader dependence, 10 of the 32 cases were re-read by an independent reviewer with no connection to the study and no prior familiarity with the instrument, who recorded his own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none, and recorded that he knew the documented outcome in 0 of the 10 cases. Agreement was computed after his answers were received, against reads recorded between 26 June and 8 August 2026 and unchanged since.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demonstrates is that the Gap read is reachable on real material, and that where an independent government auditor assessed the same records, the two assessments matched.</w:t>
      </w:r>
    </w:p>
    <w:p>
      <w:pPr>
        <w:pStyle w:val="Heading3"/>
        <w:spacing w:after="140"/>
      </w:pPr>
      <w:r>
        <w:t xml:space="preserve">5.3 The read tracks reconstructability, not outcome</w:t>
      </w:r>
    </w:p>
    <w:p>
      <w:pPr>
        <w:spacing w:after="140"/>
      </w:pPr>
      <w:r>
        <w:t xml:space="preserve">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pPr>
        <w:spacing w:after="140"/>
      </w:pPr>
      <w:r>
        <w:t xml:space="preserve">The construct comparison is restricted to the 27 case-level sources classified Ready or Needs work; the 5 programme-level audit sources classified Gap are analyzed separately in Section 5.2. It is further restricted to the 24 of those 27 that carry a note, because a case with no note cannot be coded for what its note states, and counting it as not stating a reconstructability failure would inflate the comparison group. The 3 case-level sources without a note are excluded rather than assigned a code.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7)</w:t>
            </w:r>
          </w:p>
        </w:tc>
        <w:tc>
          <w:tcPr>
            <w:tcW w:w="2340" w:type="dxa"/>
          </w:tcPr>
          <w:p>
            <w:pPr>
              <w:spacing w:after="0"/>
            </w:pPr>
            <w:r>
              <w:t xml:space="preserve">6</w:t>
            </w:r>
          </w:p>
        </w:tc>
        <w:tc>
          <w:tcPr>
            <w:tcW w:w="2340" w:type="dxa"/>
          </w:tcPr>
          <w:p>
            <w:pPr>
              <w:spacing w:after="0"/>
            </w:pPr>
            <w:r>
              <w:t xml:space="preserve">1</w:t>
            </w:r>
          </w:p>
        </w:tc>
        <w:tc>
          <w:tcPr>
            <w:tcW w:w="2340" w:type="dxa"/>
          </w:tcPr>
          <w:p>
            <w:pPr>
              <w:spacing w:after="0"/>
            </w:pPr>
            <w:r>
              <w:t xml:space="preserve">85.7%</w:t>
            </w:r>
          </w:p>
        </w:tc>
      </w:tr>
      <w:tr>
        <w:tc>
          <w:tcPr>
            <w:tcW w:w="2340" w:type="dxa"/>
          </w:tcPr>
          <w:p>
            <w:pPr>
              <w:spacing w:after="0"/>
            </w:pPr>
            <w:r>
              <w:t xml:space="preserve">Ready (n = 17)</w:t>
            </w:r>
          </w:p>
        </w:tc>
        <w:tc>
          <w:tcPr>
            <w:tcW w:w="2340" w:type="dxa"/>
          </w:tcPr>
          <w:p>
            <w:pPr>
              <w:spacing w:after="0"/>
            </w:pPr>
            <w:r>
              <w:t xml:space="preserve">0</w:t>
            </w:r>
          </w:p>
        </w:tc>
        <w:tc>
          <w:tcPr>
            <w:tcW w:w="2340" w:type="dxa"/>
          </w:tcPr>
          <w:p>
            <w:pPr>
              <w:spacing w:after="0"/>
            </w:pPr>
            <w:r>
              <w:t xml:space="preserve">17</w:t>
            </w:r>
          </w:p>
        </w:tc>
        <w:tc>
          <w:tcPr>
            <w:tcW w:w="2340" w:type="dxa"/>
          </w:tcPr>
          <w:p>
            <w:pPr>
              <w:spacing w:after="0"/>
            </w:pPr>
            <w:r>
              <w:t xml:space="preserve">0.0%</w:t>
            </w:r>
          </w:p>
        </w:tc>
      </w:tr>
    </w:tbl>
    <w:p>
      <w:pPr/>
      <w:r>
        <w:t/>
      </w:r>
    </w:p>
    <w:p>
      <w:pPr>
        <w:spacing w:after="140"/>
      </w:pPr>
      <w:r>
        <w:t xml:space="preserve">Fisher's exact test, two-sided: p = 0.0000520.</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These findings provide preliminary evidence addressing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20 adjudicated matters drawn from 20 distinct published decisions across six forums in two countries, including United States Supreme Court decisions, Federal Labor Relations Authority decisions, and United Kingdom Employment Tribunal judgments. Twenty-two matters were screened and two were excluded before analysis under that study's stated inclusion criteria, one of them a public-records advisory opinion that belongs to the present corpus rather than to an employment one.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the outcome coding that asks whether a matter drew an adverse finding, one of three codings that study reports with equal standing because no analysis plan fixing a primary coding was recorded before its data closed, records read as Needs work or Gap did so in 6 of 8 cases (75.0 percent, 95 percent Wilson interval 40.9 to 92.9) against 2 of 12 records read as Ready (16.7 percent, interval 4.7 to 44.8); Fisher's exact test, two-sided, p = 0.0194, odds ratio 15.00. On the coding that matches the specification check above, restricted to the 13 matters carrying a resolved disposition and asking only whether the employer's position was sustained, the association holds at p = 0.0291.</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3"/>
        <w:spacing w:after="140"/>
      </w:pPr>
      <w:r>
        <w:t xml:space="preserve">5.7 Blind second read</w:t>
      </w:r>
    </w:p>
    <w:p>
      <w:pPr>
        <w:spacing w:after="140"/>
      </w:pPr>
      <w:r>
        <w:t xml:space="preserve">The two readers agreed exactly on 7 of 10 cases, 70.0 percent, 95 percent Wilson interval 39.7 to 89.2. Cohen's kappa is 0.474 unweighted, which is moderate agreement on the conventional scale and is reported here without qualification.</w:t>
      </w:r>
    </w:p>
    <w:p>
      <w:pPr>
        <w:spacing w:after="140"/>
      </w:pPr>
      <w:r>
        <w:t xml:space="preserve">Two further coefficients are reported because the unweighted figure is not the only defensible one for this scale, and reporting only the most favourable of the three would be a choice made after seeing the data. The scale is ordinal, Ready to Needs work to Gap, and </w:t>
      </w:r>
      <w:r>
        <w:rPr>
          <w:b/>
        </w:rPr>
        <w:t xml:space="preserve">all 3 disagreements were between adjacent categories; none was a Ready against a Gap.</w:t>
      </w:r>
      <w:r>
        <w:t xml:space="preserve"> Linear weighted kappa, which credits an adjacent disagreement more than a distant one, is 0.559. Gwet's AC1, which does not collapse when one category holds most of the margin, as Ready does here at 6 of 10, is 0.582. All three rest on 10 cases and none of them should be read as a stable estimate.</w:t>
      </w:r>
    </w:p>
    <w:p>
      <w:pPr>
        <w:spacing w:after="140"/>
      </w:pPr>
      <w:r>
        <w:t xml:space="preserve">The disagreements are not symmetric: the second reader was stricter than the original on 2 cases and more lenient on 1. They were case 1, read Ready originally and Needs work on re-read; case 4, read Ready originally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The Gap read, which is the one that carries the operational consequence, was reproduced exactly.</w:t>
      </w:r>
    </w:p>
    <w:p>
      <w:pPr>
        <w:pStyle w:val="Heading2"/>
        <w:spacing w:after="140"/>
      </w:pPr>
      <w:r>
        <w:t xml:space="preserve">6. Discussion</w:t>
      </w:r>
    </w:p>
    <w:p>
      <w:pPr>
        <w:spacing w:after="140"/>
      </w:pPr>
      <w:r>
        <w:t xml:space="preserve">The pilot provides evidence for three propositions.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modernization, sample their own determinations for reconstructability, catching the case where better tooling produces fluent but unreconstructable records.</w:t>
      </w:r>
    </w:p>
    <w:p>
      <w:pPr>
        <w:spacing w:after="140"/>
      </w:pPr>
      <w:r>
        <w:t xml:space="preserve">For public-records programs,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w:t>
      </w:r>
      <w:r>
        <w:rPr>
          <w:b/>
        </w:rPr>
        <w:t xml:space="preserve">10 of them, not all 32, were re-read blind by an independent reviewer</w:t>
      </w:r>
      <w:r>
        <w:t xml:space="preserve">, so reader dependence is estimated on a subset and not 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pPr>
        <w:spacing w:after="140"/>
      </w:pPr>
      <w:r>
        <w:t xml:space="preserve">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Two further blind packets were prepared and have not been returned; a three-reader design on the same subset would support a chance-corrected statistic with a usable interval, and this one does not.</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20 adjudicated matters, with 22 matters screened before two were excluded under that study's stated inclusion criteria, collected by a different reviewer, is reported in full in a companion manuscript, and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measure with which the read showed concordance in this sample,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w:t>
      </w:r>
      <w:r>
        <w:rPr>
          <w:rFonts w:ascii="Consolas" w:hAnsi="Consolas"/>
        </w:rPr>
        <w:t xml:space="preserve">analysis.py</w:t>
      </w:r>
      <w:r>
        <w:t xml:space="preserve">, which uses only the Python standard library, needs no network access, and verifies each figure against the manuscript text on every run. It computes the Section 5.3 cell counts from the construct coding frame and the Section 5.4 groups from the structural coding frame, so the chain from case to coding to result is a file at every step. Fisher's exact test, the Wilson interval, Cohen's kappa and Gwet's AC1 are written out in that file rather than imported. The blind second read of Section 5.7, its per-case answers and every coefficient are held in </w:t>
      </w:r>
      <w:r>
        <w:rPr>
          <w:rFonts w:ascii="Consolas" w:hAnsi="Consolas"/>
        </w:rPr>
        <w:t xml:space="preserve">Blind_Recheck_RESULT_2026-08-28.json</w:t>
      </w:r>
      <w:r>
        <w:t xml:space="preserv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