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Contributor.</w:t>
      </w:r>
      <w:r>
        <w:t xml:space="preserve"> Gabriela Cortez (Maryland Commission on Civil Rights) contributed the argument developed in Section 2.1, that a record must remain understandable to the person it describes and that linguistic and jurisdictional range is a property of review rather than a courtesy. That argument is the reason this study was designed around an international panel rather than a single-jurisdiction one. She reviewed the corpus as a panel member and is credited here with her permission.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FINAL. Data locked 2026-08-15.</w:t>
      </w:r>
      <w:r>
        <w:t xml:space="preserve"> Every figure below was recomputed from the study database on the lock date. The eleven invited panel reviewers who had not started as of 6 August 2026 did not start before the close, so the completer count, the country count and the continent count are unchanged from the pre-close draft. This manuscript reports Study 011, the detection study, and nothing else.</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is DRR detectable? If independent experts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independent experts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producing 384 graded reads. Panel accuracy against the verified key was 83.9 percent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DRR is detectable.</w:t>
      </w:r>
    </w:p>
    <w:p>
      <w:pPr>
        <w:spacing w:after="140"/>
      </w:pPr>
      <w:r>
        <w:rPr>
          <w:b/>
        </w:rPr>
        <w:t xml:space="preserve">Supporting results.</w:t>
      </w:r>
      <w:r>
        <w:t xml:space="preserve"> Three AI systems from three different vendors applied the same review to the same records and agreed at a mean pairwise rate of 87.8 percent on the most recent nightly run across 15 records, indicating consistent application at machine level, which is distinct from accuracy. Independent expert and trained-reviewer panels applied the five conditions to a shared 10-record set, reaching Gwet's AC1 of 0.739 and 0.623 respectively, in the substantial range and clearing the pre-registered point floor of 0.61; the confidence intervals around both are wide and the plan's lower-bound criterion is not met, so these reliability figures are reported as interim, resting on 10 of approximately 26 pooled records.</w:t>
      </w:r>
    </w:p>
    <w:p>
      <w:pPr>
        <w:spacing w:after="140"/>
      </w:pPr>
      <w:r>
        <w:rPr>
          <w:b/>
        </w:rPr>
        <w:t xml:space="preserve">Scope.</w:t>
      </w:r>
      <w:r>
        <w:t xml:space="preserve"> This paper establishes that the risk is detectable. Whether a structured method improves on unaided professional judgment is a different question, tested in a separate study and reported separately; Section 4.8 states the boundary.</w:t>
      </w:r>
    </w:p>
    <w:p>
      <w:pPr>
        <w:pBdr>
          <w:bottom w:val="single" w:sz="6" w:space="1" w:color="AAAAAA"/>
        </w:pBdr>
      </w:pPr>
    </w:p>
    <w:p>
      <w:pPr>
        <w:pStyle w:val="Heading2"/>
        <w:spacing w:after="140"/>
      </w:pPr>
      <w:r>
        <w:t xml:space="preserve">1. Introduction</w:t>
      </w:r>
    </w:p>
    <w:p>
      <w:pPr>
        <w:spacing w:after="140"/>
      </w:pPr>
      <w:r>
        <w:t xml:space="preserve">A record is only as useful as the ability of the people it concerns to understand it. A determination the affected person cannot follow cannot be questioned, corrected, or trusted. A record is also only as resilient as the range of people who read it closely, and a file that has survived review by one reviewer, in one language, inside one legal culture has not really been tested. Both of those commitments shape this study, and Section 2.1 develops them.</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t xml:space="preserve">Before asking whether any particular review method helps, there is a prior question to settle: is DRR detectable at all? If independent experts, reading a record cold, cannot tell one whose reasoning is present from one whose reasoning is absent, then documentation risk is not a governable property and no control built on human review can work. This paper reports a pre-registered test of that question and answers it yes. Whether a structured method improves on unaided judgment is a separate question under separate test, and it is not addressed here (Section 4.8).</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 A blind spot shared by every reviewer is not detected by any of them.</w:t>
      </w:r>
    </w:p>
    <w:p>
      <w:pPr>
        <w:spacing w:after="140"/>
      </w:pPr>
      <w:r>
        <w:t xml:space="preserve">A policy is only as resilient as the diversity of the minds that test it. Local review builds a standard; a global panel stress-tests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This is a detection study. An international panel of independent experts judged a balanced corpus of constructed records against a verified answer key, blind to the key and to one another's judgments. A separate randomized comparison study, described in Section 4.8, tests a different question and is not analyzed here.</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independent experts in relevant domains: AI governance, compliance, audit, human resources, investigations, data privacy, records, and law. Every panel member is a credentialed practitioner or researcher in one of those fields, recruited on that basis. At the data lock of 15 August 2026, 16 reviewers had completed the full 24-record set. The completed reviewers span 11 countries on 5 continents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spacing w:after="140"/>
      </w:pPr>
      <w:r>
        <w:t xml:space="preserve">Eleven further reviewers accepted an invitation and did not begin. None started before the close, so the panel reported here is the panel the pre-close draft described.</w:t>
      </w:r>
    </w:p>
    <w:p>
      <w:pPr>
        <w:pStyle w:val="Heading3"/>
        <w:spacing w:after="140"/>
      </w:pPr>
      <w:r>
        <w:t xml:space="preserve">4.4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for this study is zero.</w:t>
      </w:r>
    </w:p>
    <w:p>
      <w:pPr>
        <w:spacing w:after="140"/>
      </w:pPr>
      <w:r>
        <w:t xml:space="preserve">One stored row carries an administrative marker rather than a record judgment and is excluded from scoring. It is reported here rather than dropped silently: 385 rows were retained after de-duplication, of which 384 are scorable graded reads.</w:t>
      </w:r>
    </w:p>
    <w:p>
      <w:pPr>
        <w:pStyle w:val="Heading3"/>
        <w:spacing w:after="140"/>
      </w:pPr>
      <w:r>
        <w:t xml:space="preserve">4.5 Pre-registered thresholds</w:t>
      </w:r>
    </w:p>
    <w:p>
      <w:pPr>
        <w:spacing w:after="140"/>
      </w:pPr>
      <w:r>
        <w:t xml:space="preserve">Analysis follows a plan registered before results were examined. Two thresholds in that plan govern this paper.</w:t>
      </w:r>
    </w:p>
    <w:p>
      <w:pPr>
        <w:spacing w:after="14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spacing w:after="140"/>
      </w:pPr>
      <w:r>
        <w:rPr>
          <w:b/>
        </w:rPr>
        <w:t xml:space="preserve">Reliability floor (supporting).</w:t>
      </w:r>
      <w:r>
        <w:t xml:space="preserve"> Gwet's AC1 among the expert panel of at least 0.61, with the lower bound of its confidence interval at least 0.41.</w:t>
      </w:r>
    </w:p>
    <w:p>
      <w:pPr>
        <w:spacing w:after="140"/>
      </w:pPr>
      <w:r>
        <w:t xml:space="preserve">The registered plan also carries a threshold for the separate comparison study. It is not applied here, because that study is not reported here.</w:t>
      </w:r>
    </w:p>
    <w:p>
      <w:pPr>
        <w:spacing w:after="140"/>
      </w:pPr>
      <w:r>
        <w:t xml:space="preserve">A threshold that is not met is reported plainly as a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This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spacing w:after="140"/>
      </w:pPr>
      <w:r>
        <w:rPr>
          <w:b/>
        </w:rPr>
        <w:t xml:space="preserve">Inclusion rule for the reliability analysis, stated explicitly.</w:t>
      </w:r>
      <w:r>
        <w:t xml:space="preserve"> Only labels recorded under the five-condition instrument are analyzed, with one label retained per rater per record and the latest submission kept. Sixteen labels in the same table were recorded by raters working under the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analyzed set the trained-reviewer coefficient is 0.623, and pooling the baseline labels in drives it to 0.16 to 0.18. The rule is the one this study was designed around, not one selected after seeing either number.</w:t>
      </w:r>
    </w:p>
    <w:p>
      <w:pPr>
        <w:pStyle w:val="Heading3"/>
        <w:spacing w:after="140"/>
      </w:pPr>
      <w:r>
        <w:t xml:space="preserve">4.8 Scope of the claim</w:t>
      </w:r>
    </w:p>
    <w:p>
      <w:pPr>
        <w:spacing w:after="140"/>
      </w:pPr>
      <w:r>
        <w:t xml:space="preserve">This study asks whether Decision Reconstruction Risk can be detected. Whether the five conditions improve on unaided professional judgment is a different question, and it is being tested in a separate study with its own participants, its own recruitment, its own participant codes, and its own registration. That study shares this corpus, which is why it is named here rather than left for a reader to discover.</w:t>
      </w:r>
    </w:p>
    <w:p>
      <w:pPr>
        <w:spacing w:after="140"/>
      </w:pPr>
      <w:r>
        <w:t xml:space="preserve">That study has now closed and will be reported separately and in full, whatever it shows. Nothing here claims the method outperforms unaided judgment. The detection result does not depend on that comparison in any way: the corpus, the key, the panel, and the analysis plan were fixed independently of it.</w:t>
      </w:r>
    </w:p>
    <w:p>
      <w:pPr>
        <w:pStyle w:val="Heading2"/>
        <w:spacing w:after="140"/>
      </w:pPr>
      <w:r>
        <w:t xml:space="preserve">5. Results: DRR is detectable</w:t>
      </w:r>
    </w:p>
    <w:p>
      <w:pPr>
        <w:spacing w:after="140"/>
      </w:pPr>
      <w:r>
        <w:t xml:space="preserve">Sixteen independent experts, working in 11 countries across 5 continents, each read the full 24-record corpus and returned 384 graded judgments, unpaid and in a personal capacity, none of them having discussed a record with any other. What follows rests on that effort. They are 16 of the 58 independent experts who have graded records for this programme; all 58 are credited in the Acknowledgments, and the results below are scoped to these 16 alone.</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threshold is cleared on both criteria. Experienced professionals, reading constructed records cold and blind to a verified key, identify records whose reasoning cannot be reconstructed at a rate well above chance and above the target set in advance.</w:t>
      </w:r>
    </w:p>
    <w:p>
      <w:pPr>
        <w:spacing w:after="140"/>
      </w:pPr>
      <w:r>
        <w:t xml:space="preserve">The dispersion behind each of those means is reported, because a control's usability depends on it.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spacing w:after="140"/>
      </w:pPr>
      <w:r>
        <w:t xml:space="preserve">Sensitivity exceeds specificity by roughly six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 The gap is not statistically distinguishable from zero in this sample and is reported as a direction rather than as an effect.</w:t>
      </w:r>
    </w:p>
    <w:p>
      <w:pPr>
        <w:spacing w:after="140"/>
      </w:pPr>
      <w:r>
        <w:t xml:space="preserve">Performance varied across reviewers, from 100 percent down to below chance, with six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Across 15 constructed records, three independent vendor models reached a mean pairwise agreement of </w:t>
      </w:r>
      <w:r>
        <w:rPr>
          <w:b/>
        </w:rPr>
        <w:t xml:space="preserve">87.8 percent</w:t>
      </w:r>
      <w:r>
        <w:t xml:space="preserve"> on the determination on the most recent nightly run (2026-08-12). Fifty-five cross-vendor runs are on record between 13 June and 12 August 2026, with a mean of 84.5 percent, a median of 85.6 percent, and a range of 66.7 to 93.3 percent. Runs early in the series scored a smaller record set as the corpus grew, so the run-to-run figures are not on a constant denominator and the series is reported as a range rather than as a trend. This indicates consistent application at machine level and is explicitly not a measure of correctness.</w:t>
      </w:r>
    </w:p>
    <w:p>
      <w:pPr>
        <w:pStyle w:val="Heading3"/>
        <w:spacing w:after="140"/>
      </w:pPr>
      <w:r>
        <w:t xml:space="preserve">5.3 Supporting result: inter-rater reliability</w:t>
      </w:r>
    </w:p>
    <w:p>
      <w:pPr>
        <w:spacing w:after="140"/>
      </w:pPr>
      <w:r>
        <w:t xml:space="preserve">The reliability analysis follows the plan and the acceptance floors specified in advance by the study's methodology author, including the choice of Gwet's AC1 as the primary coefficient under an anticipated skewed determination distribution. That specification is doing real work here: the skew arrived as predicted, and the coefficient chosen before the data were seen is the one that handles it.</w:t>
      </w:r>
    </w:p>
    <w:p>
      <w:pPr>
        <w:spacing w:after="140"/>
      </w:pPr>
      <w:r>
        <w:t xml:space="preserve">On a shared set of 10 records carrying 113 submitted determinations under the five-condition instrument, reduced to 104 after keeping one label per rater per record, expert reviewers reached Gwet's AC1 of </w:t>
      </w:r>
      <w:r>
        <w:rPr>
          <w:b/>
        </w:rPr>
        <w:t xml:space="preserve">0.739</w:t>
      </w:r>
      <w:r>
        <w:t xml:space="preserve"> (36 labels, 8 raters), above the pre-registered point threshold of 0.61; trained reviewers reached </w:t>
      </w:r>
      <w:r>
        <w:rPr>
          <w:b/>
        </w:rPr>
        <w:t xml:space="preserve">0.623</w:t>
      </w:r>
      <w:r>
        <w:t xml:space="preserve"> (68 labels, 14 raters). The determination distribution was skewed, and under that skew the marginal-sensitive coefficients diverge from AC1 as the analysis plan anticipated, which is the documented reason AC1 was pre-registered as primary.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Panel</w:t>
            </w:r>
          </w:p>
        </w:tc>
        <w:tc>
          <w:tcPr>
            <w:tcW w:w="1560" w:type="dxa"/>
          </w:tcPr>
          <w:p>
            <w:pPr>
              <w:spacing w:after="0"/>
            </w:pPr>
            <w:r>
              <w:t xml:space="preserve">Records</w:t>
            </w:r>
          </w:p>
        </w:tc>
        <w:tc>
          <w:tcPr>
            <w:tcW w:w="1560" w:type="dxa"/>
          </w:tcPr>
          <w:p>
            <w:pPr>
              <w:spacing w:after="0"/>
            </w:pPr>
            <w:r>
              <w:t xml:space="preserve">Labels</w:t>
            </w:r>
          </w:p>
        </w:tc>
        <w:tc>
          <w:tcPr>
            <w:tcW w:w="1560" w:type="dxa"/>
          </w:tcPr>
          <w:p>
            <w:pPr>
              <w:spacing w:after="0"/>
            </w:pPr>
            <w:r>
              <w:t xml:space="preserve">AC1</w:t>
            </w:r>
          </w:p>
        </w:tc>
        <w:tc>
          <w:tcPr>
            <w:tcW w:w="1560" w:type="dxa"/>
          </w:tcPr>
          <w:p>
            <w:pPr>
              <w:spacing w:after="0"/>
            </w:pPr>
            <w:r>
              <w:t xml:space="preserve">95% CI (analytic)</w:t>
            </w:r>
          </w:p>
        </w:tc>
        <w:tc>
          <w:tcPr>
            <w:tcW w:w="1560" w:type="dxa"/>
          </w:tcPr>
          <w:p>
            <w:pPr>
              <w:spacing w:after="0"/>
            </w:pPr>
            <w:r>
              <w:t xml:space="preserve">95% CI (bootstrap)</w:t>
            </w:r>
          </w:p>
        </w:tc>
      </w:tr>
      <w:tr>
        <w:tc>
          <w:tcPr>
            <w:tcW w:w="1560" w:type="dxa"/>
          </w:tcPr>
          <w:p>
            <w:pPr>
              <w:spacing w:after="0"/>
            </w:pPr>
            <w:r>
              <w:t xml:space="preserve">Experts</w:t>
            </w:r>
          </w:p>
        </w:tc>
        <w:tc>
          <w:tcPr>
            <w:tcW w:w="1560" w:type="dxa"/>
          </w:tcPr>
          <w:p>
            <w:pPr>
              <w:spacing w:after="0"/>
            </w:pPr>
            <w:r>
              <w:t xml:space="preserve">10</w:t>
            </w:r>
          </w:p>
        </w:tc>
        <w:tc>
          <w:tcPr>
            <w:tcW w:w="1560" w:type="dxa"/>
          </w:tcPr>
          <w:p>
            <w:pPr>
              <w:spacing w:after="0"/>
            </w:pPr>
            <w:r>
              <w:t xml:space="preserve">36</w:t>
            </w:r>
          </w:p>
        </w:tc>
        <w:tc>
          <w:tcPr>
            <w:tcW w:w="1560" w:type="dxa"/>
          </w:tcPr>
          <w:p>
            <w:pPr>
              <w:spacing w:after="0"/>
            </w:pPr>
            <w:r>
              <w:t xml:space="preserve">0.739</w:t>
            </w:r>
          </w:p>
        </w:tc>
        <w:tc>
          <w:tcPr>
            <w:tcW w:w="1560" w:type="dxa"/>
          </w:tcPr>
          <w:p>
            <w:pPr>
              <w:spacing w:after="0"/>
            </w:pPr>
            <w:r>
              <w:t xml:space="preserve">0.402 to 1.000</w:t>
            </w:r>
          </w:p>
        </w:tc>
        <w:tc>
          <w:tcPr>
            <w:tcW w:w="1560" w:type="dxa"/>
          </w:tcPr>
          <w:p>
            <w:pPr>
              <w:spacing w:after="0"/>
            </w:pPr>
            <w:r>
              <w:t xml:space="preserve">0.427 to 1.000</w:t>
            </w:r>
          </w:p>
        </w:tc>
      </w:tr>
      <w:tr>
        <w:tc>
          <w:tcPr>
            <w:tcW w:w="1560" w:type="dxa"/>
          </w:tcPr>
          <w:p>
            <w:pPr>
              <w:spacing w:after="0"/>
            </w:pPr>
            <w:r>
              <w:t xml:space="preserve">Trained reviewers</w:t>
            </w:r>
          </w:p>
        </w:tc>
        <w:tc>
          <w:tcPr>
            <w:tcW w:w="1560" w:type="dxa"/>
          </w:tcPr>
          <w:p>
            <w:pPr>
              <w:spacing w:after="0"/>
            </w:pPr>
            <w:r>
              <w:t xml:space="preserve">10</w:t>
            </w:r>
          </w:p>
        </w:tc>
        <w:tc>
          <w:tcPr>
            <w:tcW w:w="1560" w:type="dxa"/>
          </w:tcPr>
          <w:p>
            <w:pPr>
              <w:spacing w:after="0"/>
            </w:pPr>
            <w:r>
              <w:t xml:space="preserve">68</w:t>
            </w:r>
          </w:p>
        </w:tc>
        <w:tc>
          <w:tcPr>
            <w:tcW w:w="1560" w:type="dxa"/>
          </w:tcPr>
          <w:p>
            <w:pPr>
              <w:spacing w:after="0"/>
            </w:pPr>
            <w:r>
              <w:t xml:space="preserve">0.623</w:t>
            </w:r>
          </w:p>
        </w:tc>
        <w:tc>
          <w:tcPr>
            <w:tcW w:w="1560" w:type="dxa"/>
          </w:tcPr>
          <w:p>
            <w:pPr>
              <w:spacing w:after="0"/>
            </w:pPr>
            <w:r>
              <w:t xml:space="preserve">0.253 to 0.994</w:t>
            </w:r>
          </w:p>
        </w:tc>
        <w:tc>
          <w:tcPr>
            <w:tcW w:w="1560" w:type="dxa"/>
          </w:tcPr>
          <w:p>
            <w:pPr>
              <w:spacing w:after="0"/>
            </w:pPr>
            <w:r>
              <w:t xml:space="preserve">0.301 to 0.886</w:t>
            </w:r>
          </w:p>
        </w:tc>
      </w:tr>
    </w:tbl>
    <w:p>
      <w:pPr/>
      <w:r>
        <w:t/>
      </w:r>
    </w:p>
    <w:p>
      <w:pPr>
        <w:spacing w:after="140"/>
      </w:pPr>
      <w:r>
        <w:t xml:space="preserve">Both point estimates clear the pre-registered floor of 0.61. Neither clears the plan's secondary criterion that the lower confidence bound exceed 0.41 on the analytic interval: experts fall on the boundary at 0.402 and pass at 0.427 on the bootstrap interval; trained reviewers fail on both. Under the conventional Landis and Koch bands, the expert coefficient of 0.739 sits in the substantial range, and it was reached by independent professionals who had never discussed these records with one another.</w:t>
      </w:r>
    </w:p>
    <w:p>
      <w:pPr>
        <w:spacing w:after="140"/>
      </w:pPr>
      <w:r>
        <w:t xml:space="preserve">These reliability figures are interim. They rest on 10 records against a pre-registered pooled target of about 26, which is why the intervals above are as wide as they are. They will be re-estimated when the pooled set is complete.</w:t>
      </w:r>
    </w:p>
    <w:p>
      <w:pPr>
        <w:pStyle w:val="Heading3"/>
        <w:spacing w:after="140"/>
      </w:pPr>
      <w:r>
        <w:t xml:space="preserve">5.4 Supporting result: every condition carries discriminating information</w:t>
      </w:r>
    </w:p>
    <w:p>
      <w:pPr>
        <w:spacing w:after="140"/>
      </w:pPr>
      <w:r>
        <w:t xml:space="preserve">The reliability instrument records a judgment on each of the five conditions separately, not only the overall determination. Across the 113 labels recorded under the five-condition instrument, each condition separates Ready determinations from Gap determinations at a rate far beyond chance.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Condition</w:t>
            </w:r>
          </w:p>
        </w:tc>
        <w:tc>
          <w:tcPr>
            <w:tcW w:w="2340" w:type="dxa"/>
          </w:tcPr>
          <w:p>
            <w:pPr>
              <w:spacing w:after="0"/>
            </w:pPr>
            <w:r>
              <w:t xml:space="preserve">Pass rate, Ready determinations</w:t>
            </w:r>
          </w:p>
        </w:tc>
        <w:tc>
          <w:tcPr>
            <w:tcW w:w="2340" w:type="dxa"/>
          </w:tcPr>
          <w:p>
            <w:pPr>
              <w:spacing w:after="0"/>
            </w:pPr>
            <w:r>
              <w:t xml:space="preserve">Pass rate, Gap determinations</w:t>
            </w:r>
          </w:p>
        </w:tc>
        <w:tc>
          <w:tcPr>
            <w:tcW w:w="2340" w:type="dxa"/>
          </w:tcPr>
          <w:p>
            <w:pPr>
              <w:spacing w:after="0"/>
            </w:pPr>
            <w:r>
              <w:t xml:space="preserve">Fisher's exact, two-sided</w:t>
            </w:r>
          </w:p>
        </w:tc>
      </w:tr>
      <w:tr>
        <w:tc>
          <w:tcPr>
            <w:tcW w:w="2340" w:type="dxa"/>
          </w:tcPr>
          <w:p>
            <w:pPr>
              <w:spacing w:after="0"/>
            </w:pPr>
            <w:r>
              <w:t xml:space="preserve">Reconstructability</w:t>
            </w:r>
          </w:p>
        </w:tc>
        <w:tc>
          <w:tcPr>
            <w:tcW w:w="2340" w:type="dxa"/>
          </w:tcPr>
          <w:p>
            <w:pPr>
              <w:spacing w:after="0"/>
            </w:pPr>
            <w:r>
              <w:t xml:space="preserve">14 of 14 (100%, 95% CI 78 to 100)</w:t>
            </w:r>
          </w:p>
        </w:tc>
        <w:tc>
          <w:tcPr>
            <w:tcW w:w="2340" w:type="dxa"/>
          </w:tcPr>
          <w:p>
            <w:pPr>
              <w:spacing w:after="0"/>
            </w:pPr>
            <w:r>
              <w:t xml:space="preserve">15 of 77 (19%, CI 12 to 30)</w:t>
            </w:r>
          </w:p>
        </w:tc>
        <w:tc>
          <w:tcPr>
            <w:tcW w:w="2340" w:type="dxa"/>
          </w:tcPr>
          <w:p>
            <w:pPr>
              <w:spacing w:after="0"/>
            </w:pPr>
            <w:r>
              <w:t xml:space="preserve">7.3e-09</w:t>
            </w:r>
          </w:p>
        </w:tc>
      </w:tr>
      <w:tr>
        <w:tc>
          <w:tcPr>
            <w:tcW w:w="2340" w:type="dxa"/>
          </w:tcPr>
          <w:p>
            <w:pPr>
              <w:spacing w:after="0"/>
            </w:pPr>
            <w:r>
              <w:t xml:space="preserve">Basis identification</w:t>
            </w:r>
          </w:p>
        </w:tc>
        <w:tc>
          <w:tcPr>
            <w:tcW w:w="2340" w:type="dxa"/>
          </w:tcPr>
          <w:p>
            <w:pPr>
              <w:spacing w:after="0"/>
            </w:pPr>
            <w:r>
              <w:t xml:space="preserve">14 of 14 (100%, CI 78 to 100)</w:t>
            </w:r>
          </w:p>
        </w:tc>
        <w:tc>
          <w:tcPr>
            <w:tcW w:w="2340" w:type="dxa"/>
          </w:tcPr>
          <w:p>
            <w:pPr>
              <w:spacing w:after="0"/>
            </w:pPr>
            <w:r>
              <w:t xml:space="preserve">20 of 77 (26%, CI 17 to 37)</w:t>
            </w:r>
          </w:p>
        </w:tc>
        <w:tc>
          <w:tcPr>
            <w:tcW w:w="2340" w:type="dxa"/>
          </w:tcPr>
          <w:p>
            <w:pPr>
              <w:spacing w:after="0"/>
            </w:pPr>
            <w:r>
              <w:t xml:space="preserve">1.3e-07</w:t>
            </w:r>
          </w:p>
        </w:tc>
      </w:tr>
      <w:tr>
        <w:tc>
          <w:tcPr>
            <w:tcW w:w="2340" w:type="dxa"/>
          </w:tcPr>
          <w:p>
            <w:pPr>
              <w:spacing w:after="0"/>
            </w:pPr>
            <w:r>
              <w:t xml:space="preserve">Chronological integrity</w:t>
            </w:r>
          </w:p>
        </w:tc>
        <w:tc>
          <w:tcPr>
            <w:tcW w:w="2340" w:type="dxa"/>
          </w:tcPr>
          <w:p>
            <w:pPr>
              <w:spacing w:after="0"/>
            </w:pPr>
            <w:r>
              <w:t xml:space="preserve">14 of 14 (100%, CI 78 to 100)</w:t>
            </w:r>
          </w:p>
        </w:tc>
        <w:tc>
          <w:tcPr>
            <w:tcW w:w="2340" w:type="dxa"/>
          </w:tcPr>
          <w:p>
            <w:pPr>
              <w:spacing w:after="0"/>
            </w:pPr>
            <w:r>
              <w:t xml:space="preserve">10 of 77 (13%, CI 7 to 22)</w:t>
            </w:r>
          </w:p>
        </w:tc>
        <w:tc>
          <w:tcPr>
            <w:tcW w:w="2340" w:type="dxa"/>
          </w:tcPr>
          <w:p>
            <w:pPr>
              <w:spacing w:after="0"/>
            </w:pPr>
            <w:r>
              <w:t xml:space="preserve">1.8e-10</w:t>
            </w:r>
          </w:p>
        </w:tc>
      </w:tr>
      <w:tr>
        <w:tc>
          <w:tcPr>
            <w:tcW w:w="2340" w:type="dxa"/>
          </w:tcPr>
          <w:p>
            <w:pPr>
              <w:spacing w:after="0"/>
            </w:pPr>
            <w:r>
              <w:t xml:space="preserve">Decision-process traceability</w:t>
            </w:r>
          </w:p>
        </w:tc>
        <w:tc>
          <w:tcPr>
            <w:tcW w:w="2340" w:type="dxa"/>
          </w:tcPr>
          <w:p>
            <w:pPr>
              <w:spacing w:after="0"/>
            </w:pPr>
            <w:r>
              <w:t xml:space="preserve">14 of 14 (100%, CI 78 to 100)</w:t>
            </w:r>
          </w:p>
        </w:tc>
        <w:tc>
          <w:tcPr>
            <w:tcW w:w="2340" w:type="dxa"/>
          </w:tcPr>
          <w:p>
            <w:pPr>
              <w:spacing w:after="0"/>
            </w:pPr>
            <w:r>
              <w:t xml:space="preserve">10 of 77 (13%, CI 7 to 22)</w:t>
            </w:r>
          </w:p>
        </w:tc>
        <w:tc>
          <w:tcPr>
            <w:tcW w:w="2340" w:type="dxa"/>
          </w:tcPr>
          <w:p>
            <w:pPr>
              <w:spacing w:after="0"/>
            </w:pPr>
            <w:r>
              <w:t xml:space="preserve">1.8e-10</w:t>
            </w:r>
          </w:p>
        </w:tc>
      </w:tr>
      <w:tr>
        <w:tc>
          <w:tcPr>
            <w:tcW w:w="2340" w:type="dxa"/>
          </w:tcPr>
          <w:p>
            <w:pPr>
              <w:spacing w:after="0"/>
            </w:pPr>
            <w:r>
              <w:t xml:space="preserve">Evidentiary sufficiency</w:t>
            </w:r>
          </w:p>
        </w:tc>
        <w:tc>
          <w:tcPr>
            <w:tcW w:w="2340" w:type="dxa"/>
          </w:tcPr>
          <w:p>
            <w:pPr>
              <w:spacing w:after="0"/>
            </w:pPr>
            <w:r>
              <w:t xml:space="preserve">14 of 14 (100%, CI 78 to 100)</w:t>
            </w:r>
          </w:p>
        </w:tc>
        <w:tc>
          <w:tcPr>
            <w:tcW w:w="2340" w:type="dxa"/>
          </w:tcPr>
          <w:p>
            <w:pPr>
              <w:spacing w:after="0"/>
            </w:pPr>
            <w:r>
              <w:t xml:space="preserve">7 of 77 (9%, CI 4 to 18)</w:t>
            </w:r>
          </w:p>
        </w:tc>
        <w:tc>
          <w:tcPr>
            <w:tcW w:w="2340" w:type="dxa"/>
          </w:tcPr>
          <w:p>
            <w:pPr>
              <w:spacing w:after="0"/>
            </w:pPr>
            <w:r>
              <w:t xml:space="preserve">1.1e-11</w:t>
            </w:r>
          </w:p>
        </w:tc>
      </w:tr>
    </w:tbl>
    <w:p>
      <w:pPr/>
      <w:r>
        <w:t/>
      </w:r>
    </w:p>
    <w:p>
      <w:pPr>
        <w:spacing w:after="140"/>
      </w:pPr>
      <w:r>
        <w:t xml:space="preserve">Intervals are Wilson score intervals, used because several cells are small. Ready determinations number 14 in this corpus, so every rate in the first column rests on 14 observations and its interval is correspondingly wide.</w:t>
      </w:r>
    </w:p>
    <w:p>
      <w:pPr>
        <w:spacing w:after="140"/>
      </w:pPr>
      <w:r>
        <w:t xml:space="preserve">Two things follow. None of the five conditions is decorative: each one moves with the determination rather than sitting alongside it, which is the minimum a multi-condition instrument has to demonstrate before its composite read means anything. And the conditions are not interchangeable. Evidentiary sufficiency is both the most often unmet across all 113 labels, at 77.9 percent not passing, and the sharpest discriminator between Ready and Gap. Chronological integrity, decision-process traceability, reconstructability and basis identification follow at 65.5, 64.6, 57.5 and 51.3 percent respectively.</w:t>
      </w:r>
    </w:p>
    <w:p>
      <w:pPr>
        <w:spacing w:after="140"/>
      </w:pPr>
      <w:r>
        <w:t xml:space="preserve">The instrument's three levels are all exercised in this corpus. Across the 113 labels the lowest level is the most-used value of the three, recorded 216 times against 207 passes and 142 middle-level judgments, and it appears at least once in 77 of the 113 labels. The separations reported above are therefore across the full scale rather than between the top two levels.</w:t>
      </w:r>
    </w:p>
    <w:p>
      <w:pPr>
        <w:pStyle w:val="Heading2"/>
        <w:spacing w:after="140"/>
      </w:pPr>
      <w:r>
        <w:t xml:space="preserve">6. Discussion</w:t>
      </w:r>
    </w:p>
    <w:p>
      <w:pPr>
        <w:spacing w:after="140"/>
      </w:pPr>
      <w:r>
        <w:t xml:space="preserve">The contribution is that DRR is detectable, and that is the precondition for everything downstream. A documentation property experienced reviewers cannot identify is not a governable property, and a control built on human review of it would rest on nothing. The panel result shows the property is real, visible, and identifiable well above chance by professionals working across a wide range of jurisdictions and first languages.</w:t>
      </w:r>
    </w:p>
    <w:p>
      <w:pPr>
        <w:spacing w:after="140"/>
      </w:pPr>
      <w:r>
        <w:t xml:space="preserve">Detecting a problem is not the same as fixing it. That reviewers can identify unreconstructable records leaves open whether a structured method helps them do it better, faster, or more consistently than they would unaided. That question is genuinely open, it belongs to the separate study named in Section 4.8, and nothing here settles it.</w:t>
      </w:r>
    </w:p>
    <w:p>
      <w:pPr>
        <w:spacing w:after="140"/>
      </w:pPr>
      <w:r>
        <w:t xml:space="preserve">One feature of the results is worth drawing out for practitioners. Accuracy varied widely across the panel, from perfect scores down to below chance, and a review process in which some reviewers are highly accurate and others perform below chance is hard to manage even when the average is acceptable, because the spread is invisible at the point of use. Whether a structured standard narrows that spread is a question about variance rather than about means, and it would need its own pre-registered test.</w:t>
      </w:r>
    </w:p>
    <w:p>
      <w:pPr>
        <w:spacing w:after="140"/>
      </w:pPr>
      <w:r>
        <w:t xml:space="preserve">Stated in full, this is what the study supports. Decision Reconstruction Risk is detectable by independent experts, at 83.9 percent accuracy against a verified key, clearing a threshold fixed before the data were seen, by a panel spanning 11 countries and 5 continents. The review is applied consistently by independent machines at 87.8 percent cross-vendor agreement on the latest run, and by independent human experts at AC1 0.74, interim. What the study does not address is whether the method improves on unaided expert judgment, and no claim about that is made here. A property can be real, visible, and worth building controls around long before anyone has shown that a particular instrument beats expert intuition at spotting it. Establishing that it can be seen at all is what makes the second question askable.</w:t>
      </w:r>
    </w:p>
    <w:p>
      <w:pPr>
        <w:pStyle w:val="Heading2"/>
        <w:spacing w:after="140"/>
      </w:pPr>
      <w:r>
        <w:t xml:space="preserve">7.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t xml:space="preserve">The study does not test whether the method improves on unaided judgment, and nothing here should be read as evidence on that question. Detection has no control condition by design: the panel is measured against a verified key, not against another group. No efficacy claim is made and none should be inferred.</w:t>
      </w:r>
    </w:p>
    <w:p>
      <w:pPr>
        <w:spacing w:after="140"/>
      </w:pPr>
      <w:r>
        <w:t xml:space="preserve">The panel is made up of credentialed experts, which bounds the generalization in a particular direction. These results establish that DRR is detectable by people who review records for a living. What a less experienced reviewer, or one working outside their own domain, would achieve on the same corpus is a worthwhile question for later work.</w:t>
      </w:r>
    </w:p>
    <w:p>
      <w:pPr>
        <w:spacing w:after="140"/>
      </w:pPr>
      <w:r>
        <w:t xml:space="preserve">Reviewer accuracy varied widely, including panel members scoring below chance. Response patterns were examined and showed genuine discrimination rather than straight-lining or missing data, so these are treated as real observations and retained.</w:t>
      </w:r>
    </w:p>
    <w:p>
      <w:pPr>
        <w:spacing w:after="140"/>
      </w:pPr>
      <w:r>
        <w:t xml:space="preserve">Sensitivity and specificity are reported as participant-level means. The comparison between them in Section 5.1 is descriptive: both numbers come from the same 16 reviewers, so a paired test is the correct one, and the paired data were not retained in a form that supports it. The six-point gap is reported as a direction and should not be cited as a measured difference.</w:t>
      </w:r>
    </w:p>
    <w:p>
      <w:pPr>
        <w:spacing w:after="140"/>
      </w:pPr>
      <w:r>
        <w:t xml:space="preserve">Reliability figures are interim on 10 of approximately 26 pooled records, and the per-condition analysis in Section 5.4 rests on the same 10 records. Ready determinations number 14 in that corpus, so the first column of the Section 5.4 table rests on 14 observations throughout. JRS remains in a validation phase and makes no proven-effectiveness claim.</w:t>
      </w:r>
    </w:p>
    <w:p>
      <w:pPr>
        <w:pStyle w:val="Heading2"/>
        <w:spacing w:after="140"/>
      </w:pPr>
      <w:r>
        <w:t xml:space="preserve">8.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independent experts,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 and that all five of its conditions carry information that separates a reconstructable record from an unreconstructable one.</w:t>
      </w:r>
    </w:p>
    <w:p>
      <w:pPr>
        <w:spacing w:after="140"/>
      </w:pPr>
      <w:r>
        <w:t xml:space="preserve">Whether a structured standard improves on unaided professional judgment remains open, and this paper does not attempt to answer it. What it does establish is that the property is real and measurable, which is the thing that had to be settled first. Sizing the added value of a control is the next study, and it can now be designed against a measured baseline rather than an assumed one.</w:t>
      </w:r>
    </w:p>
    <w:p>
      <w:pPr>
        <w:pStyle w:val="Heading2"/>
        <w:spacing w:after="140"/>
      </w:pPr>
      <w:r>
        <w:t xml:space="preserve">References</w:t>
      </w:r>
    </w:p>
    <w:p>
      <w:pPr>
        <w:spacing w:after="140"/>
      </w:pPr>
      <w:r>
        <w:t xml:space="preserve">Byrt, T., Bishop, J., Carlin, J.B., 1993. Bias, prevalence and kappa. </w:t>
      </w:r>
      <w:r>
        <w:rPr>
          <w:i/>
        </w:rPr>
        <w:t xml:space="preserve">Journal of Clinical Epidemiology</w:t>
      </w:r>
      <w:r>
        <w:t xml:space="preserve"> 46 (5), 423-429.</w:t>
      </w:r>
    </w:p>
    <w:p>
      <w:pPr>
        <w:spacing w:after="140"/>
      </w:pPr>
      <w:r>
        <w:t xml:space="preserve">Cohen, J., 1960. A coefficient of agreement for nominal scales. </w:t>
      </w:r>
      <w:r>
        <w:rPr>
          <w:i/>
        </w:rPr>
        <w:t xml:space="preserve">Educational and Psychological Measurement</w:t>
      </w:r>
      <w:r>
        <w:t xml:space="preserve"> 20 (1), 37-46.</w:t>
      </w:r>
    </w:p>
    <w:p>
      <w:pPr>
        <w:spacing w:after="140"/>
      </w:pPr>
      <w:r>
        <w:t xml:space="preserve">Feinstein, A.R., Cicchetti, D.V., 1990. High agreement but low kappa: I. The problems of two paradoxes. </w:t>
      </w:r>
      <w:r>
        <w:rPr>
          <w:i/>
        </w:rPr>
        <w:t xml:space="preserve">Journal of Clinical Epidemiology</w:t>
      </w:r>
      <w:r>
        <w:t xml:space="preserve"> 43 (6), 543-549.</w:t>
      </w:r>
    </w:p>
    <w:p>
      <w:pPr>
        <w:spacing w:after="140"/>
      </w:pPr>
      <w:r>
        <w:t xml:space="preserve">Fleiss, J.L., 1971. Measuring nominal scale agreement among many raters. </w:t>
      </w:r>
      <w:r>
        <w:rPr>
          <w:i/>
        </w:rPr>
        <w:t xml:space="preserve">Psychological Bulletin</w:t>
      </w:r>
      <w:r>
        <w:t xml:space="preserve"> 76 (5), 378-382.</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spacing w:after="140"/>
      </w:pPr>
      <w:r>
        <w:t xml:space="preserve">Gwet, K.L., 2014. </w:t>
      </w:r>
      <w:r>
        <w:rPr>
          <w:i/>
        </w:rPr>
        <w:t xml:space="preserve">Handbook of Inter-Rater Reliability</w:t>
      </w:r>
      <w:r>
        <w:t xml:space="preserve">, fourth ed. Advanced Analytics, Gaithersburg, MD.</w:t>
      </w:r>
    </w:p>
    <w:p>
      <w:pPr>
        <w:spacing w:after="140"/>
      </w:pPr>
      <w:r>
        <w:t xml:space="preserve">Krippendorff, K., 2004. </w:t>
      </w:r>
      <w:r>
        <w:rPr>
          <w:i/>
        </w:rPr>
        <w:t xml:space="preserve">Content Analysis: An Introduction to Its Methodology</w:t>
      </w:r>
      <w:r>
        <w:t xml:space="preserve">, second ed. Sage, Thousand Oaks, CA.</w:t>
      </w:r>
    </w:p>
    <w:p>
      <w:pPr>
        <w:spacing w:after="140"/>
      </w:pPr>
      <w:r>
        <w:t xml:space="preserve">Landis, J.R., Koch, G.G., 1977. The measurement of observer agreement for categorical data. </w:t>
      </w:r>
      <w:r>
        <w:rPr>
          <w:i/>
        </w:rPr>
        <w:t xml:space="preserve">Biometrics</w:t>
      </w:r>
      <w:r>
        <w:t xml:space="preserve"> 33 (1), 159-174.</w:t>
      </w:r>
    </w:p>
    <w:p>
      <w:pPr>
        <w:pStyle w:val="Heading2"/>
        <w:spacing w:after="140"/>
      </w:pPr>
      <w:r>
        <w:t xml:space="preserve">Acknowledgments</w:t>
      </w:r>
    </w:p>
    <w:p>
      <w:pPr>
        <w:spacing w:after="140"/>
      </w:pPr>
      <w:r>
        <w:rPr>
          <w:b/>
        </w:rPr>
        <w:t xml:space="preserve">Fifty-eight independent experts have graded records for this programme.</w:t>
      </w:r>
      <w:r>
        <w:t xml:space="preserve"> Every one of them worked unpaid, in a personal capacity, with nothing at stake in the outcome, and none of them had to take an interest in the question. They are acknowledged here together, because the programme is one body of work and the people who carried it do not become less relevant to a reader depending on which study a given paper reports.</w:t>
      </w:r>
    </w:p>
    <w:p>
      <w:pPr>
        <w:spacing w:after="140"/>
      </w:pPr>
      <w:r>
        <w:t xml:space="preserve">They divide as follows, and each group did something the others did not.</w:t>
      </w:r>
    </w:p>
    <w:p>
      <w:pPr>
        <w:spacing w:after="140"/>
      </w:pPr>
      <w:r>
        <w:rPr>
          <w:b/>
        </w:rPr>
        <w:t xml:space="preserve">The detection panel, 16 independent experts across 11 countries and 5 continents.</w:t>
      </w:r>
      <w:r>
        <w:t xml:space="preserve"> Each read the full 24-record corpus cold, blind to a verified key, and returned 384 graded judgments. This paper's result is theirs. Its international and linguistic range is a methodological asset rather than a courtesy, for the reasons set out in Section 2.1.</w:t>
      </w:r>
    </w:p>
    <w:p>
      <w:pPr>
        <w:spacing w:after="140"/>
      </w:pPr>
      <w:r>
        <w:rPr>
          <w:b/>
        </w:rPr>
        <w:t xml:space="preserve">The comparison study, 20 independent experts.</w:t>
      </w:r>
      <w:r>
        <w:t xml:space="preserve"> Each completed the same full 24-record corpus under the design described in Section 4.8, and did so without knowing what the comparison was testing, which is what made the comparison possible at all. Their work closed on 15 August 2026 and will be reported in full in its own paper, whatever it shows. A reviewer who completes twenty-four blind reads to answer a question they cannot be told about has done the harder version of this job, and it would be wrong to acknowledge them only in the paper their data happens to appear in.</w:t>
      </w:r>
    </w:p>
    <w:p>
      <w:pPr>
        <w:spacing w:after="140"/>
      </w:pPr>
      <w:r>
        <w:rPr>
          <w:b/>
        </w:rPr>
        <w:t xml:space="preserve">The reliability study, 25 raters.</w:t>
      </w:r>
      <w:r>
        <w:t xml:space="preserve"> Eight worked as expert raters and seventeen as trained reviewers on the shared record set, producing the labels behind the coefficients in Section 5.3 and the per-condition analysis in Section 5.4. Section 5.4 exists only because they recorded a judgment on each of the five conditions separately rather than only the overall read.</w:t>
      </w:r>
    </w:p>
    <w:p>
      <w:pPr>
        <w:spacing w:after="140"/>
      </w:pPr>
      <w:r>
        <w:t xml:space="preserve">Across the two review studies, 36 independent experts have each completed a full 24-record set, in 16 countries across 5 continents. Every completer code resolved to a country; none was estimated.</w:t>
      </w:r>
    </w:p>
    <w:p>
      <w:pPr>
        <w:spacing w:after="140"/>
      </w:pPr>
      <w:r>
        <w:t xml:space="preserve">Those wider figures are acknowledgment, not results. The detection finding in Section 5 rests on the sixteen panel members and their 384 graded reads, and on nothing else. Keeping the credit wide and the claim narrow is deliberate, and both halves of that sentence are meant.</w:t>
      </w:r>
    </w:p>
    <w:p>
      <w:pPr>
        <w:spacing w:after="140"/>
      </w:pPr>
      <w:r>
        <w:t xml:space="preserve">The reliability and validation methodology, including the pre-registered analysis plan, the choice of coefficient, and the acceptance floors applied in Section 5.3, was designed by Ubayet Hossain, FRM. Specifying those criteria before any data were examined is what allows the results in this paper to be read as tests rather than as descriptions.</w:t>
      </w:r>
    </w:p>
    <w:p>
      <w:pPr>
        <w:spacing w:after="140"/>
      </w:pPr>
      <w:r>
        <w:t xml:space="preserve">We thank every reviewer across all three studies for their care and their independent judgment. Reviewers in all three are recognized as named contributors with their consent, on the same terms and with the same standing; none is a co-author of this paper. Recognition is not scoped to the study a given paper reports.</w:t>
      </w:r>
    </w:p>
    <w:p>
      <w:pPr>
        <w:spacing w:after="140"/>
      </w:pPr>
      <w:r>
        <w:t xml:space="preserve">Gabriela Cortez (Maryland Commission on Civil Rights) is named as a contributor to this paper. The argument in Section 2.1, that a record must stay understandable to the person it describes and that linguistic and jurisdictional range is part of what makes review real, came out of conversations with her and is credited to her with permission. It is not a decorative point in this manuscript. It is the reason the panel was built across eleven countries and several first languages instead of one, and that design choice is what the detection result rests on.</w:t>
      </w:r>
    </w:p>
    <w:p>
      <w:pPr>
        <w:spacing w:after="140"/>
      </w:pPr>
      <w:r>
        <w:t xml:space="preserve">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Bdr>
          <w:bottom w:val="single" w:sz="6" w:space="1" w:color="AAAAAA"/>
        </w:pBdr>
      </w:pPr>
    </w:p>
    <w:p>
      <w:pPr>
        <w:pStyle w:val="Heading2"/>
        <w:spacing w:after="140"/>
      </w:pPr>
      <w:r>
        <w:t xml:space="preserve">Change log for this version (v3, 2026-08-15)</w:t>
      </w:r>
    </w:p>
    <w:p>
      <w:pPr>
        <w:spacing w:after="140"/>
      </w:pPr>
      <w:r>
        <w:t xml:space="preserve">Every change below is a correction against the study database at data lock. No figure was altered in a direction favourable to the paper, and two changes make the paper's claims narrower than they were.</w:t>
      </w:r>
    </w:p>
    <w:p>
      <w:pPr>
        <w:spacing w:after="140"/>
      </w:pPr>
      <w:r>
        <w:rPr>
          <w:b/>
        </w:rPr>
        <w:t xml:space="preserve">1. Status line replaced.</w:t>
      </w:r>
      <w:r>
        <w:t xml:space="preserve"> The pre-close draft warned that eleven invited reviewers had not started and that any one of them finishing would move the completer count, the point estimate, the interval, sensitivity, specificity and the country count. None of them started. The panel, the countries and the continents are unchanged, and the line is replaced with the lock.</w:t>
      </w:r>
    </w:p>
    <w:p>
      <w:pPr>
        <w:spacing w:after="140"/>
      </w:pPr>
      <w:r>
        <w:rPr>
          <w:b/>
        </w:rPr>
        <w:t xml:space="preserve">2. Primary figures verified, not restated.</w:t>
      </w:r>
      <w:r>
        <w:t xml:space="preserve"> Accuracy 83.85 percent, 95 percent CI 72.66 to 95.05, sensitivity 86.98 percent, specificity 80.73 percent, n 16, 384 graded reads. All four reproduce from the database at close and are reported rounded as before.</w:t>
      </w:r>
    </w:p>
    <w:p>
      <w:pPr>
        <w:spacing w:after="140"/>
      </w:pPr>
      <w:r>
        <w:rPr>
          <w:b/>
        </w:rPr>
        <w:t xml:space="preserve">3. Cross-vendor reproducibility corrected.</w:t>
      </w:r>
      <w:r>
        <w:t xml:space="preserve"> The draft carried 84 percent from a run dated 2026-07-06, with a band of 78 to 87 percent. The current figure is </w:t>
      </w:r>
      <w:r>
        <w:rPr>
          <w:b/>
        </w:rPr>
        <w:t xml:space="preserve">87.8 percent</w:t>
      </w:r>
      <w:r>
        <w:t xml:space="preserve"> from 2026-08-12. Fifty-five cross-vendor runs are on record with a mean of 84.5, a median of 85.6 and a range of 66.7 to 93.3. The draft's band understated the spread. Added: early runs scored fewer records as the corpus grew, so the series is not on a constant denominator, which the draft did not say.</w:t>
      </w:r>
    </w:p>
    <w:p>
      <w:pPr>
        <w:spacing w:after="140"/>
      </w:pPr>
      <w:r>
        <w:rPr>
          <w:b/>
        </w:rPr>
        <w:t xml:space="preserve">4. Perfect scorers corrected from five to six.</w:t>
      </w:r>
      <w:r>
        <w:t xml:space="preserve"> The stored per-reviewer scores contain six values of 100.</w:t>
      </w:r>
    </w:p>
    <w:p>
      <w:pPr>
        <w:spacing w:after="140"/>
      </w:pPr>
      <w:r>
        <w:rPr>
          <w:b/>
        </w:rPr>
        <w:t xml:space="preserve">5. The "no rater used fail" paragraph is removed, and its Limitations twin with it.</w:t>
      </w:r>
      <w:r>
        <w:t xml:space="preserve"> The draft stated that no rater used the lowest coding level and that the reported separations were therefore between the top two levels only. The data does not support that. The lowest level is the </w:t>
      </w:r>
      <w:r>
        <w:rPr>
          <w:b/>
        </w:rPr>
        <w:t xml:space="preserve">most-used value of the three</w:t>
      </w:r>
      <w:r>
        <w:t xml:space="preserve">, recorded 216 times against 207 passes and 142 middle-level judgments, and it appears in 77 of 113 labels. The draft claimed a limitation the study does not have.</w:t>
      </w:r>
    </w:p>
    <w:p>
      <w:pPr>
        <w:spacing w:after="140"/>
      </w:pPr>
      <w:r>
        <w:rPr>
          <w:b/>
        </w:rPr>
        <w:t xml:space="preserve">6. Reliability counts updated.</w:t>
      </w:r>
      <w:r>
        <w:t xml:space="preserve"> 108 submitted determinations to </w:t>
      </w:r>
      <w:r>
        <w:rPr>
          <w:b/>
        </w:rPr>
        <w:t xml:space="preserve">113</w:t>
      </w:r>
      <w:r>
        <w:t xml:space="preserve">; 99 retained to </w:t>
      </w:r>
      <w:r>
        <w:rPr>
          <w:b/>
        </w:rPr>
        <w:t xml:space="preserve">104</w:t>
      </w:r>
      <w:r>
        <w:t xml:space="preserve">; trained-reviewer labels 63 to </w:t>
      </w:r>
      <w:r>
        <w:rPr>
          <w:b/>
        </w:rPr>
        <w:t xml:space="preserve">68</w:t>
      </w:r>
      <w:r>
        <w:t xml:space="preserve">; trained-reviewer AC1 0.624 to </w:t>
      </w:r>
      <w:r>
        <w:rPr>
          <w:b/>
        </w:rPr>
        <w:t xml:space="preserve">0.623</w:t>
      </w:r>
      <w:r>
        <w:t xml:space="preserve">. The expert coefficient is unchanged at 0.739.</w:t>
      </w:r>
    </w:p>
    <w:p>
      <w:pPr>
        <w:spacing w:after="140"/>
      </w:pPr>
      <w:r>
        <w:rPr>
          <w:b/>
        </w:rPr>
        <w:t xml:space="preserve">7. The reliability inclusion rule is now stated in the Methods.</w:t>
      </w:r>
      <w:r>
        <w:t xml:space="preserve"> Sixteen labels in the same table were recorded under the unstructured baseline prompt rather than the five conditions. They are excluded, because including them measures agreement between two different methods. The exclusion changes the trained-reviewer coefficient from 0.623 to between 0.16 and 0.18, which is large enough that the rule must be visible in the paper rather than buried in a script.</w:t>
      </w:r>
    </w:p>
    <w:p>
      <w:pPr>
        <w:spacing w:after="140"/>
      </w:pPr>
      <w:r>
        <w:rPr>
          <w:b/>
        </w:rPr>
        <w:t xml:space="preserve">8. Section 5.4 condition table recomputed.</w:t>
      </w:r>
      <w:r>
        <w:t xml:space="preserve"> The Gap denominator moves from 75 to 77 and three cell counts change. All five conditions still separate at p below 1.5e-07.</w:t>
      </w:r>
    </w:p>
    <w:p>
      <w:pPr>
        <w:spacing w:after="140"/>
      </w:pPr>
      <w:r>
        <w:rPr>
          <w:b/>
        </w:rPr>
        <w:t xml:space="preserve">9. Per-condition not-passing rates replaced, and the reason is a problem worth recording.</w:t>
      </w:r>
      <w:r>
        <w:t xml:space="preserve"> The draft reported 52.9, 40.6, 40.0, 37.3 and 35.1 percent not passing. </w:t>
      </w:r>
      <w:r>
        <w:rPr>
          <w:b/>
        </w:rPr>
        <w:t xml:space="preserve">Those figures could not be reproduced from the database under any inclusion rule tested</w:t>
      </w:r>
      <w:r>
        <w:t xml:space="preserve"> (all labels, five-condition labels only, de-duplicated or raw, counting the lowest level as not-passing or excluding it). The computed values are 77.9, 65.5, 64.6, 57.5 and 51.3 percent. The ordering of the top item is preserved; the rest of the ordering changes. The draft's figures are not carried forward.</w:t>
      </w:r>
    </w:p>
    <w:p>
      <w:pPr>
        <w:spacing w:after="140"/>
      </w:pPr>
      <w:r>
        <w:rPr>
          <w:b/>
        </w:rPr>
        <w:t xml:space="preserve">10. Dispersion added to Section 5.1.</w:t>
      </w:r>
      <w:r>
        <w:t xml:space="preserve"> Standard deviations, ranges and perfect-scorer counts for all three measures. The draft reported point estimates only, and the spread is the part a practitioner needs.</w:t>
      </w:r>
    </w:p>
    <w:p>
      <w:pPr>
        <w:spacing w:after="140"/>
      </w:pPr>
      <w:r>
        <w:rPr>
          <w:b/>
        </w:rPr>
        <w:t xml:space="preserve">11. The sensitivity-versus-specificity comparison is downgraded to a direction.</w:t>
      </w:r>
      <w:r>
        <w:t xml:space="preserve"> Both numbers come from the same 16 reviewers, so the correct test is paired, and the paired data were not retained in a form that supports one. An unpaired approximation returns p = 0.48. The draft implied a difference; this version reports a direction and says why.</w:t>
      </w:r>
    </w:p>
    <w:p>
      <w:pPr>
        <w:spacing w:after="140"/>
      </w:pPr>
      <w:r>
        <w:rPr>
          <w:b/>
        </w:rPr>
        <w:t xml:space="preserve">12. One administrative row disclosed.</w:t>
      </w:r>
      <w:r>
        <w:t xml:space="preserve"> 385 rows were retained after de-duplication, of which 384 are scorable. The single non-scorable row carries an administrative marker rather than a judgment. The draft reported 384 without noting the discarded row.</w:t>
      </w:r>
    </w:p>
    <w:p>
      <w:pPr>
        <w:spacing w:after="140"/>
      </w:pPr>
      <w:r>
        <w:rPr>
          <w:b/>
        </w:rPr>
        <w:t xml:space="preserve">13. Epigraph added</w:t>
      </w:r>
      <w:r>
        <w:t xml:space="preserve">, and the stress-test framing worked into Section 2.1, in the paper's own register.</w:t>
      </w:r>
    </w:p>
    <w:p>
      <w:pPr>
        <w:spacing w:after="140"/>
      </w:pPr>
      <w:r>
        <w:rPr>
          <w:b/>
        </w:rPr>
        <w:t xml:space="preserve">14. Language.</w:t>
      </w:r>
      <w:r>
        <w:t xml:space="preserve"> "Frequently" replaced with "most often" per the house style rule. No em-dashes are present. The manuscript's voice is unchanged elsewhere; nothing was rewritten for its own sake.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