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Positioning lines: slides, LinkedIn, decks</w:t>
      </w:r>
    </w:p>
    <w:p>
      <w:pPr>
        <w:spacing w:after="140"/>
      </w:pPr>
      <w:r>
        <w:rPr>
          <w:b/>
        </w:rPr>
        <w:t xml:space="preserve">SCOPE RULE, applies to every line below.</w:t>
      </w:r>
      <w:r>
        <w:t xml:space="preserve"> A line citing </w:t>
      </w:r>
      <w:r>
        <w:rPr>
          <w:b/>
        </w:rPr>
        <w:t xml:space="preserve">16</w:t>
      </w:r>
      <w:r>
        <w:t xml:space="preserve"> describes the detection study alone. A line citing </w:t>
      </w:r>
      <w:r>
        <w:rPr>
          <w:b/>
        </w:rPr>
        <w:t xml:space="preserve">36</w:t>
      </w:r>
      <w:r>
        <w:t xml:space="preserve"> describes both review arms. A line citing </w:t>
      </w:r>
      <w:r>
        <w:rPr>
          <w:b/>
        </w:rPr>
        <w:t xml:space="preserve">58</w:t>
      </w:r>
      <w:r>
        <w:t xml:space="preserve"> describes every independent expert who has graded records for this programme, across all three studies. Never use a detection-only figure where the subject is the programme: it under-credits 42 people who did the work. The verified figures at lock are </w:t>
      </w:r>
      <w:r>
        <w:rPr>
          <w:rFonts w:ascii="Consolas" w:hAnsi="Consolas"/>
        </w:rPr>
        <w:t xml:space="preserve">reviewers_all</w:t>
      </w:r>
      <w:r>
        <w:t xml:space="preserve"> 58, </w:t>
      </w:r>
      <w:r>
        <w:rPr>
          <w:rFonts w:ascii="Consolas" w:hAnsi="Consolas"/>
        </w:rPr>
        <w:t xml:space="preserve">completers_all</w:t>
      </w:r>
      <w:r>
        <w:t xml:space="preserve"> 36, </w:t>
      </w:r>
      <w:r>
        <w:rPr>
          <w:rFonts w:ascii="Consolas" w:hAnsi="Consolas"/>
        </w:rPr>
        <w:t xml:space="preserve">completers_detection</w:t>
      </w:r>
      <w:r>
        <w:t xml:space="preserve"> 16, </w:t>
      </w:r>
      <w:r>
        <w:rPr>
          <w:rFonts w:ascii="Consolas" w:hAnsi="Consolas"/>
        </w:rPr>
        <w:t xml:space="preserve">completers_comparison</w:t>
      </w:r>
      <w:r>
        <w:t xml:space="preserve"> 20, </w:t>
      </w:r>
      <w:r>
        <w:rPr>
          <w:rFonts w:ascii="Consolas" w:hAnsi="Consolas"/>
        </w:rPr>
        <w:t xml:space="preserve">countries_all</w:t>
      </w:r>
      <w:r>
        <w:t xml:space="preserve"> 16, </w:t>
      </w:r>
      <w:r>
        <w:rPr>
          <w:rFonts w:ascii="Consolas" w:hAnsi="Consolas"/>
        </w:rPr>
        <w:t xml:space="preserve">countries_detection</w:t>
      </w:r>
      <w:r>
        <w:t xml:space="preserve"> 11.</w:t>
      </w:r>
    </w:p>
    <w:p>
      <w:pPr>
        <w:spacing w:after="140"/>
      </w:pPr>
      <w:r>
        <w:rPr>
          <w:b/>
        </w:rPr>
        <w:t xml:space="preserve">These are marketing copy. They do not go in the manuscript.</w:t>
      </w:r>
      <w:r>
        <w:t xml:space="preserve"> The paper makes no efficacy claim and clears a detection threshold only; a line like "bulletproof standard" would contradict Section 4.8 and hand a reviewer an easy objection. Two lines from the supplied set are already in the paper at academic register: the epigraph, and the local-versus-global contrast in Section 2.1.</w:t>
      </w:r>
    </w:p>
    <w:p>
      <w:pPr>
        <w:spacing w:after="140"/>
      </w:pPr>
      <w:r>
        <w:t xml:space="preserve">Each line below is marked for what the evidence actually supports at data lock 2026-08-15.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SAFE. Supported by the locked data.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Line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What backs it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 policy is only as resilient as the diversity of the minds that test it.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Epigraph. In the paper. A claim about method, not about outcome.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Local review builds a standard. A global panel stress-tests it.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In Section 2.1. Describes the design, claims no result.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Tested across 11 countries and 5 continents.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16 detection completers, verified at lock. Literal.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384 independent judgments. 11 countries. One verified answer key.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All three verified. Literal.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58 independent experts across three studies. 36 of them completed a full 24-record set, in 16 countries.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Verified at lock: </w:t>
            </w:r>
            <w:r>
              <w:rPr>
                <w:rFonts w:ascii="Consolas" w:hAnsi="Consolas"/>
              </w:rPr>
              <w:t xml:space="preserve">reviewers_all</w:t>
            </w:r>
            <w:r>
              <w:t xml:space="preserve"> 58, </w:t>
            </w:r>
            <w:r>
              <w:rPr>
                <w:rFonts w:ascii="Consolas" w:hAnsi="Consolas"/>
              </w:rPr>
              <w:t xml:space="preserve">completers_all</w:t>
            </w:r>
            <w:r>
              <w:t xml:space="preserve"> 36, </w:t>
            </w:r>
            <w:r>
              <w:rPr>
                <w:rFonts w:ascii="Consolas" w:hAnsi="Consolas"/>
              </w:rPr>
              <w:t xml:space="preserve">countries_all</w:t>
            </w:r>
            <w:r>
              <w:t xml:space="preserve"> 16, every completer code resolved to a country. </w:t>
            </w:r>
            <w:r>
              <w:rPr>
                <w:b/>
              </w:rPr>
              <w:t xml:space="preserve">This is the line to lead with when the subject is the programme rather than the detection result.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Graded record by record by 58 independent experts. Not one of them paid.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Verified. Covers all three studies rather than one arm.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Blind spots fade when global minds test.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Design claim, no outcome claim.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Multi-jurisdictional insight. Uncompromising rigour.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"Rigour" describes the pre-registration and the fixed key, both real.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Resilience through global rigour.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Same.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Different languages. Diverse perspectives. One tested standard.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from "bulletproof" to "tested". See below.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Beyond local boundaries. Built for global reality.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Aspirational but claims no measured result.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True resilience requires every perspective.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Principle, not a result.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USE WITH THE NUMBER ATTACHED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Line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Attach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If it hasn't been stress-tested across borders, it isn't ready.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Pair with "83.9% detection accuracy against a key fixed before scoring, 16 experts, 11 countries." Without a number this reads as a claim about competitors.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 framework isn't proven until it's globally challenged.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Same. "Proven" is a strong word; anchor it to the pre-registered threshold that was actually cleared.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Silos build policies. Diversity stress-tests them.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Strong and clean. Attach the panel composition.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DO NOT USE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Line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"One bulletproof standard"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paper makes no efficacy claim. JRS is in a validation phase. "Bulletproof" asserts something no study has tested and one study has explicitly declined to claim.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"Tested globally. Trusted everywhere."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"Trusted everywhere" is an adoption claim. Adoption is zero. This is the line most likely to be quoted back at you.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"Pressure-tested worldwide, built to stand anywhere."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"Built to stand anywhere" is a durability claim with no supporting study.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"battle-test"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Fine in a deck, wrong next to a p-value. Keep it out of anything a journal reviewer or a buyer's counsel will read.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Any line implying the method beats unaided judgment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comparison study closed on 2026-08-15 and </w:t>
            </w:r>
            <w:r>
              <w:rPr>
                <w:b/>
              </w:rPr>
              <w:t xml:space="preserve">did not meet its pre-registered Floor 3</w:t>
            </w:r>
            <w:r>
              <w:t xml:space="preserve">: B1 75.00% versus B2 67.63%, difference +7.37 points, 95% CI -15.25 to +29.99, p = 0.503. Claiming superiority contradicts your own registered analysis.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executive one-liner, corrected</w:t>
      </w:r>
    </w:p>
    <w:p>
      <w:pPr>
        <w:spacing w:after="140"/>
      </w:pPr>
      <w:r>
        <w:t xml:space="preserve">Supplied:</w:t>
      </w:r>
    </w:p>
    <w:p>
      <w:pPr>
        <w:spacing w:after="140"/>
      </w:pPr>
      <w:r>
        <w:t xml:space="preserve">&gt; "If it's not globally stress-tested, it isn't resilient. We brought together diverse, multi-lingual reviewers worldwide to battle-test this framework, not just evaluate it in a single jurisdiction."</w:t>
      </w:r>
    </w:p>
    <w:p>
      <w:pPr>
        <w:spacing w:after="140"/>
      </w:pPr>
      <w:r>
        <w:t xml:space="preserve">Usable version, same force, nothing unsupported:</w:t>
      </w:r>
    </w:p>
    <w:p>
      <w:pPr>
        <w:spacing w:after="140"/>
      </w:pPr>
      <w:r>
        <w:t xml:space="preserve">&gt; </w:t>
      </w:r>
      <w:r>
        <w:rPr>
          <w:b/>
        </w:rPr>
        <w:t xml:space="preserve">If it hasn't been stress-tested across borders, it hasn't been tested. We put this framework in front of credentialed reviewers in 11 countries across 5 continents, working in multiple first languages, blind to a verified answer key. They identified unreconstructable records at 83.9 percent accuracy against a threshold set before anyone saw the data.</w:t>
      </w:r>
    </w:p>
    <w:p>
      <w:pPr>
        <w:spacing w:after="140"/>
      </w:pPr>
      <w:r>
        <w:t xml:space="preserve">That version carries the number, names the blind, names the pre-registration, and makes no claim the study did not test.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Short forms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11 countries. 5 continents. 384 blind judgments. 83.9% accuracy against a pre-set key.</w:t>
      </w:r>
      <w:r>
        <w:t xml:space="preserve"> (detection study only)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58 independent experts. Three studies. 16 countries. Nobody paid.</w:t>
      </w:r>
      <w:r>
        <w:t xml:space="preserve"> (whole programme)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36 experts each completed a full 24-record set. 16 countries, 5 continents.</w:t>
      </w:r>
      <w:r>
        <w:t xml:space="preserve"> (both arms)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Stress-tested across borders, not reviewed in a silo.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 standard tested by one jurisdiction has been tested by nobody.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key was fixed before anyone scored. That is the whole point.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Pre-registered. Blind. Independently verified 24 of 24.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