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Reply to Stacyann Young, 2026-08-09 (second)</w:t>
      </w:r>
    </w:p>
    <w:p>
      <w:pPr>
        <w:spacing w:after="140"/>
      </w:pPr>
      <w:r>
        <w:rPr>
          <w:b/>
        </w:rPr>
        <w:t xml:space="preserve">Status: draft for Phillip to send. Not sent.</w:t>
      </w:r>
    </w:p>
    <w:p>
      <w:pPr>
        <w:spacing w:after="140"/>
      </w:pPr>
      <w:r>
        <w:t xml:space="preserve">She confirmed the manuscript byline, asked for her HPD title out of both Council notes with a background paragraph in its place, supplied that paragraph, and said an attorney friend will re-read her case notes.</w:t>
      </w:r>
    </w:p>
    <w:p>
      <w:pPr>
        <w:pBdr>
          <w:bottom w:val="single" w:sz="6" w:space="1" w:color="AAAAAA"/>
        </w:pBdr>
      </w:pPr>
    </w:p>
    <w:p>
      <w:pPr>
        <w:spacing w:after="140"/>
      </w:pPr>
      <w:r>
        <w:t xml:space="preserve">Stacyann,</w:t>
      </w:r>
    </w:p>
    <w:p>
      <w:pPr>
        <w:spacing w:after="140"/>
      </w:pPr>
      <w:r>
        <w:t xml:space="preserve">Both are done.</w:t>
      </w:r>
    </w:p>
    <w:p>
      <w:pPr>
        <w:spacing w:after="140"/>
      </w:pPr>
      <w:r>
        <w:rPr>
          <w:b/>
        </w:rPr>
        <w:t xml:space="preserve">The manuscript</w:t>
      </w:r>
      <w:r>
        <w:t xml:space="preserve"> now reads </w:t>
      </w:r>
      <w:r>
        <w:rPr>
          <w:i/>
        </w:rPr>
        <w:t xml:space="preserve">Stacyann Young, Independent Researcher</w:t>
      </w:r>
      <w:r>
        <w:t xml:space="preserve">. The disclosure section carries a line recording that you did the work voluntarily and independently on public materials and are named without institutional affiliation at your request. That sentence is there so a journal editor or a reader never has to guess why the affiliation is absent.</w:t>
      </w:r>
    </w:p>
    <w:p>
      <w:pPr>
        <w:spacing w:after="140"/>
      </w:pPr>
      <w:r>
        <w:rPr>
          <w:b/>
        </w:rPr>
        <w:t xml:space="preserve">The Council notes</w:t>
      </w:r>
      <w:r>
        <w:t xml:space="preserve"> use your background paragraph as you wrote it, in both letters, in place of the title. Your name and employer appear nowhere in either. The signature on both is Stacyann Young, Independent Researcher.</w:t>
      </w:r>
    </w:p>
    <w:p>
      <w:pPr>
        <w:spacing w:after="140"/>
      </w:pPr>
      <w:r>
        <w:t xml:space="preserve">One line in the second letter needed rewriting rather than deleting: it previously offered "the operational experience of running a large city FOIL programme", which identifies the agency without naming it. It now reads "two decades of operational experience in municipal public-records administration".</w:t>
      </w:r>
    </w:p>
    <w:p>
      <w:pPr>
        <w:spacing w:after="140"/>
      </w:pPr>
      <w:r>
        <w:t xml:space="preserve">Both letters are attached. Nothing goes to Dr. Frazier or the Council until you tell me they are ready.</w:t>
      </w:r>
    </w:p>
    <w:p>
      <w:pPr>
        <w:spacing w:after="140"/>
      </w:pPr>
      <w:r>
        <w:rPr>
          <w:b/>
        </w:rPr>
        <w:t xml:space="preserve">One more thing, and I want to put it plainly: we do not have to send the Council letters at all.</w:t>
      </w:r>
      <w:r>
        <w:t xml:space="preserve"> If writing to a federal council about public-records practice creates any question for you at work, or you would rather not have your name in front of that particular audience right now, say so and neither letter goes. The research stands on its own and the manuscript does not depend on them. There is no version of this where you have to weigh a professional risk against a favour to me.</w:t>
      </w:r>
    </w:p>
    <w:p>
      <w:pPr>
        <w:spacing w:after="140"/>
      </w:pPr>
      <w:r>
        <w:rPr>
          <w:b/>
        </w:rPr>
        <w:t xml:space="preserve">On the attorney reading your case notes: yes, and it may be worth more than a second opinion.</w:t>
      </w:r>
      <w:r>
        <w:t xml:space="preserve"> The paper's one open weakness is that all 32 reads came from one person. If your friend is willing to do it in a structured way rather than informally, ten of your cases re-read blind would let the paper report inter-rater agreement, which is the first thing a referee will ask for.</w:t>
      </w:r>
    </w:p>
    <w:p>
      <w:pPr>
        <w:spacing w:after="140"/>
      </w:pPr>
      <w:r>
        <w:t xml:space="preserve">Here is the link to send them:</w:t>
      </w:r>
    </w:p>
    <w:p>
      <w:pPr>
        <w:spacing w:after="140"/>
      </w:pPr>
      <w:r>
        <w:rPr>
          <w:b/>
        </w:rPr>
        <w:t xml:space="preserve">https://jrsstandard.com/recheck.html?k=llfmfn3rb2</w:t>
      </w:r>
    </w:p>
    <w:p>
      <w:pPr>
        <w:spacing w:after="140"/>
      </w:pPr>
      <w:r>
        <w:t xml:space="preserve">It opens ten of your cases, each with its public source and a short description of what the record is, and nothing else. Not your reads, not your notes, not the outcomes, not how many of each category to expect. They pick one of three labels per case, add a sentence on why, and it saves as they go so they can stop and come back. About two hours.</w:t>
      </w:r>
    </w:p>
    <w:p>
      <w:pPr>
        <w:spacing w:after="140"/>
      </w:pPr>
      <w:r>
        <w:t xml:space="preserve">One request, and it is the only thing that makes the result usable: </w:t>
      </w:r>
      <w:r>
        <w:rPr>
          <w:b/>
        </w:rPr>
        <w:t xml:space="preserve">please do not tell them how you read any of these cases.</w:t>
      </w:r>
      <w:r>
        <w:t xml:space="preserve"> The link cannot leak your answers because it does not contain them, but a conversation can. If they already know how a case came out there is a tick for that on each case, so it gets recorded rather than dropped.</w:t>
      </w:r>
    </w:p>
    <w:p>
      <w:pPr>
        <w:spacing w:after="140"/>
      </w:pPr>
      <w:r>
        <w:t xml:space="preserve">If they would rather just read your notes informally, that is useful too and no link is needed. Either way it is your call.</w:t>
      </w:r>
    </w:p>
    <w:p>
      <w:pPr>
        <w:spacing w:after="140"/>
      </w:pPr>
      <w:r>
        <w:t xml:space="preserve">Phillip</w:t>
      </w:r>
    </w:p>
    <w:p>
      <w:pPr>
        <w:pBdr>
          <w:bottom w:val="single" w:sz="6" w:space="1" w:color="AAAAAA"/>
        </w:pBdr>
      </w:pPr>
    </w:p>
    <w:p>
      <w:pPr>
        <w:pStyle w:val="Heading2"/>
        <w:spacing w:after="140"/>
      </w:pPr>
      <w:r>
        <w:t xml:space="preserve">Attachments</w:t>
      </w:r>
    </w:p>
    <w:p>
      <w:pPr>
        <w:numPr>
          <w:ilvl w:val="0"/>
          <w:numId w:val="1"/>
        </w:numPr>
        <w:spacing w:after="60"/>
      </w:pPr>
      <w:r>
        <w:rPr>
          <w:rFonts w:ascii="Consolas" w:hAnsi="Consolas"/>
        </w:rPr>
        <w:t xml:space="preserve">CFOC_Submission_2026-08-08.docx</w:t>
      </w:r>
      <w:r>
        <w:t xml:space="preserve"> (both letters, rewritten)</w:t>
      </w:r>
    </w:p>
    <w:p>
      <w:pPr>
        <w:numPr>
          <w:ilvl w:val="0"/>
          <w:numId w:val="1"/>
        </w:numPr>
        <w:spacing w:after="60"/>
      </w:pPr>
      <w:r>
        <w:rPr>
          <w:rFonts w:ascii="Consolas" w:hAnsi="Consolas"/>
        </w:rPr>
        <w:t xml:space="preserve">FOIL_Article_Draft.docx</w:t>
      </w:r>
      <w:r>
        <w:t xml:space="preserve"> (author line and disclosure updated)</w:t>
      </w:r>
    </w:p>
    <w:p>
      <w:pPr>
        <w:pStyle w:val="Heading2"/>
        <w:spacing w:after="140"/>
      </w:pPr>
      <w:r>
        <w:t xml:space="preserve">Changes applied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File</w:t>
            </w:r>
          </w:p>
        </w:tc>
        <w:tc>
          <w:tcPr>
            <w:tcW w:w="3120" w:type="dxa"/>
          </w:tcPr>
          <w:p>
            <w:pPr>
              <w:spacing w:after="0"/>
            </w:pPr>
            <w:r>
              <w:t xml:space="preserve">Was</w:t>
            </w:r>
          </w:p>
        </w:tc>
        <w:tc>
          <w:tcPr>
            <w:tcW w:w="3120" w:type="dxa"/>
          </w:tcPr>
          <w:p>
            <w:pPr>
              <w:spacing w:after="0"/>
            </w:pPr>
            <w:r>
              <w:t xml:space="preserve">Now</w:t>
            </w:r>
          </w:p>
        </w:tc>
      </w:tr>
      <w:tr>
        <w:tc>
          <w:tcPr>
            <w:tcW w:w="3120" w:type="dxa"/>
          </w:tcPr>
          <w:p>
            <w:pPr>
              <w:spacing w:after="0"/>
            </w:pPr>
            <w:r>
              <w:t xml:space="preserve">Manuscript author line</w:t>
            </w:r>
          </w:p>
        </w:tc>
        <w:tc>
          <w:tcPr>
            <w:tcW w:w="3120" w:type="dxa"/>
          </w:tcPr>
          <w:p>
            <w:pPr>
              <w:spacing w:after="0"/>
            </w:pPr>
            <w:r>
              <w:t xml:space="preserve">Stacy Young, Records Governance Advisor and Public-Records Domain Lead; Deputy Records Access Officer, NYC Department of Housing Preservation and Development</w:t>
            </w:r>
          </w:p>
        </w:tc>
        <w:tc>
          <w:tcPr>
            <w:tcW w:w="3120" w:type="dxa"/>
          </w:tcPr>
          <w:p>
            <w:pPr>
              <w:spacing w:after="0"/>
            </w:pPr>
            <w:r>
              <w:rPr>
                <w:b/>
              </w:rPr>
              <w:t xml:space="preserve">Stacyann Young, Independent Researcher</w:t>
            </w:r>
          </w:p>
        </w:tc>
      </w:tr>
      <w:tr>
        <w:tc>
          <w:tcPr>
            <w:tcW w:w="3120" w:type="dxa"/>
          </w:tcPr>
          <w:p>
            <w:pPr>
              <w:spacing w:after="0"/>
            </w:pPr>
            <w:r>
              <w:t xml:space="preserve">Manuscript disclosure</w:t>
            </w:r>
          </w:p>
        </w:tc>
        <w:tc>
          <w:tcPr>
            <w:tcW w:w="3120" w:type="dxa"/>
          </w:tcPr>
          <w:p>
            <w:pPr>
              <w:spacing w:after="0"/>
            </w:pPr>
            <w:r>
              <w:t xml:space="preserve">generic personal-capacity statement</w:t>
            </w:r>
          </w:p>
        </w:tc>
        <w:tc>
          <w:tcPr>
            <w:tcW w:w="3120" w:type="dxa"/>
          </w:tcPr>
          <w:p>
            <w:pPr>
              <w:spacing w:after="0"/>
            </w:pPr>
            <w:r>
              <w:t xml:space="preserve">adds that S.Y. worked voluntarily and independently on public materials and is named without institutional affiliation at her request</w:t>
            </w:r>
          </w:p>
        </w:tc>
      </w:tr>
      <w:tr>
        <w:tc>
          <w:tcPr>
            <w:tcW w:w="3120" w:type="dxa"/>
          </w:tcPr>
          <w:p>
            <w:pPr>
              <w:spacing w:after="0"/>
            </w:pPr>
            <w:r>
              <w:t xml:space="preserve">Council letter 1, opening</w:t>
            </w:r>
          </w:p>
        </w:tc>
        <w:tc>
          <w:tcPr>
            <w:tcW w:w="3120" w:type="dxa"/>
          </w:tcPr>
          <w:p>
            <w:pPr>
              <w:spacing w:after="0"/>
            </w:pPr>
            <w:r>
              <w:t xml:space="preserve">"I am the Deputy Records Access Officer at the New York City Department of Housing Preservation and Development…"</w:t>
            </w:r>
          </w:p>
        </w:tc>
        <w:tc>
          <w:tcPr>
            <w:tcW w:w="3120" w:type="dxa"/>
          </w:tcPr>
          <w:p>
            <w:pPr>
              <w:spacing w:after="0"/>
            </w:pPr>
            <w:r>
              <w:t xml:space="preserve">her background paragraph, verbatim, plus "I am writing in a personal capacity"</w:t>
            </w:r>
          </w:p>
        </w:tc>
      </w:tr>
      <w:tr>
        <w:tc>
          <w:tcPr>
            <w:tcW w:w="3120" w:type="dxa"/>
          </w:tcPr>
          <w:p>
            <w:pPr>
              <w:spacing w:after="0"/>
            </w:pPr>
            <w:r>
              <w:t xml:space="preserve">Council letter 2, opening</w:t>
            </w:r>
          </w:p>
        </w:tc>
        <w:tc>
          <w:tcPr>
            <w:tcW w:w="3120" w:type="dxa"/>
          </w:tcPr>
          <w:p>
            <w:pPr>
              <w:spacing w:after="0"/>
            </w:pPr>
            <w:r>
              <w:t xml:space="preserve">full title, agency, prior agency roles at TLC and DEP</w:t>
            </w:r>
          </w:p>
        </w:tc>
        <w:tc>
          <w:tcPr>
            <w:tcW w:w="3120" w:type="dxa"/>
          </w:tcPr>
          <w:p>
            <w:pPr>
              <w:spacing w:after="0"/>
            </w:pPr>
            <w:r>
              <w:t xml:space="preserve">her background paragraph, verbatim, keeping the SUNY and NYS Archives certifications</w:t>
            </w:r>
          </w:p>
        </w:tc>
      </w:tr>
      <w:tr>
        <w:tc>
          <w:tcPr>
            <w:tcW w:w="3120" w:type="dxa"/>
          </w:tcPr>
          <w:p>
            <w:pPr>
              <w:spacing w:after="0"/>
            </w:pPr>
            <w:r>
              <w:t xml:space="preserve">Council letter 2, closing offer</w:t>
            </w:r>
          </w:p>
        </w:tc>
        <w:tc>
          <w:tcPr>
            <w:tcW w:w="3120" w:type="dxa"/>
          </w:tcPr>
          <w:p>
            <w:pPr>
              <w:spacing w:after="0"/>
            </w:pPr>
            <w:r>
              <w:t xml:space="preserve">"the operational experience of running a large city FOIL programme"</w:t>
            </w:r>
          </w:p>
        </w:tc>
        <w:tc>
          <w:tcPr>
            <w:tcW w:w="3120" w:type="dxa"/>
          </w:tcPr>
          <w:p>
            <w:pPr>
              <w:spacing w:after="0"/>
            </w:pPr>
            <w:r>
              <w:t xml:space="preserve">"two decades of operational experience in municipal public-records administration"</w:t>
            </w:r>
          </w:p>
        </w:tc>
      </w:tr>
      <w:tr>
        <w:tc>
          <w:tcPr>
            <w:tcW w:w="3120" w:type="dxa"/>
          </w:tcPr>
          <w:p>
            <w:pPr>
              <w:spacing w:after="0"/>
            </w:pPr>
            <w:r>
              <w:t xml:space="preserve">Both signatures</w:t>
            </w:r>
          </w:p>
        </w:tc>
        <w:tc>
          <w:tcPr>
            <w:tcW w:w="3120" w:type="dxa"/>
          </w:tcPr>
          <w:p>
            <w:pPr>
              <w:spacing w:after="0"/>
            </w:pPr>
            <w:r>
              <w:t xml:space="preserve">Stacy Young / Deputy Records Access Officer / NYC Dept of Housing Preservation and Development</w:t>
            </w:r>
          </w:p>
        </w:tc>
        <w:tc>
          <w:tcPr>
            <w:tcW w:w="3120" w:type="dxa"/>
          </w:tcPr>
          <w:p>
            <w:pPr>
              <w:spacing w:after="0"/>
            </w:pPr>
            <w:r>
              <w:rPr>
                <w:b/>
              </w:rPr>
              <w:t xml:space="preserve">Stacyann Young / Independent Researcher</w:t>
            </w:r>
          </w:p>
        </w:tc>
      </w:tr>
    </w:tbl>
    <w:p>
      <w:pPr/>
      <w:r>
        <w:t/>
      </w:r>
    </w:p>
    <w:p>
      <w:pPr>
        <w:pStyle w:val="Heading2"/>
        <w:spacing w:after="140"/>
      </w:pPr>
      <w:r>
        <w:t xml:space="preserve">Verified</w:t>
      </w:r>
    </w:p>
    <w:p>
      <w:pPr>
        <w:spacing w:after="140"/>
      </w:pPr>
      <w:r>
        <w:t xml:space="preserve">Zero occurrences of "Deputy Records Access", "Housing Preservation", "HPD", "Taxi and Limousine", "Environmental Protection" or "Stacy Young" remain in either the manuscript or the Council notes.</w:t>
      </w:r>
    </w:p>
    <w:p>
      <w:pPr>
        <w:pStyle w:val="Heading2"/>
        <w:spacing w:after="140"/>
      </w:pPr>
      <w:r>
        <w:t xml:space="preserve">Open, pending her answer</w:t>
      </w:r>
    </w:p>
    <w:p>
      <w:pPr>
        <w:numPr>
          <w:ilvl w:val="0"/>
          <w:numId w:val="2"/>
        </w:numPr>
        <w:spacing w:after="60"/>
      </w:pPr>
      <w:r>
        <w:rPr>
          <w:b/>
        </w:rPr>
        <w:t xml:space="preserve">Whether the Council letters go at all.</w:t>
      </w:r>
      <w:r>
        <w:t xml:space="preserve"> The message now offers to drop both if they create any question for her at work, with no counter-argument attached. If she declines, delete </w:t>
      </w:r>
      <w:r>
        <w:rPr>
          <w:rFonts w:ascii="Consolas" w:hAnsi="Consolas"/>
        </w:rPr>
        <w:t xml:space="preserve">CFOC_Submission_2026-08-08</w:t>
      </w:r>
      <w:r>
        <w:t xml:space="preserve"> rather than holding it.</w:t>
      </w:r>
    </w:p>
    <w:p>
      <w:pPr>
        <w:numPr>
          <w:ilvl w:val="0"/>
          <w:numId w:val="2"/>
        </w:numPr>
        <w:spacing w:after="60"/>
      </w:pPr>
      <w:r>
        <w:rPr>
          <w:b/>
        </w:rPr>
        <w:t xml:space="preserve">Whether her attorney friend takes the R1 link.</w:t>
      </w:r>
      <w:r>
        <w:t xml:space="preserve"> If she names them, mark R1 assigned in </w:t>
      </w:r>
      <w:r>
        <w:rPr>
          <w:rFonts w:ascii="Consolas" w:hAnsi="Consolas"/>
        </w:rPr>
        <w:t xml:space="preserve">research/Blind_Recheck_Links_2026-08-09.md</w:t>
      </w:r>
      <w:r>
        <w:t xml:space="preserve">. R2 and R3 stay spare.</w:t>
      </w:r>
    </w:p>
    <w:p>
      <w:pPr>
        <w:numPr>
          <w:ilvl w:val="0"/>
          <w:numId w:val="2"/>
        </w:numPr>
        <w:spacing w:after="60"/>
      </w:pPr>
      <w:r>
        <w:rPr>
          <w:b/>
        </w:rPr>
        <w:t xml:space="preserve">Her approval of the full manuscript</w:t>
      </w:r>
      <w:r>
        <w:t xml:space="preserve"> before submission.</w:t>
      </w:r>
    </w:p>
    <w:p>
      <w:pPr>
        <w:numPr>
          <w:ilvl w:val="0"/>
          <w:numId w:val="2"/>
        </w:numPr>
        <w:spacing w:after="60"/>
      </w:pPr>
      <w:r>
        <w:rPr>
          <w:b/>
        </w:rPr>
        <w:t xml:space="preserve">A quote</w:t>
      </w:r>
      <w:r>
        <w:t xml:space="preserve">, still optional, for the article and the data room.</w:t>
      </w:r>
    </w:p>
    <w:p>
      <w:pPr>
        <w:pStyle w:val="Heading2"/>
        <w:spacing w:after="140"/>
      </w:pPr>
      <w:r>
        <w:t xml:space="preserve">Handling</w:t>
      </w:r>
    </w:p>
    <w:p>
      <w:pPr>
        <w:spacing w:after="140"/>
      </w:pPr>
      <w:r>
        <w:t xml:space="preserve">The R1 link goes to her to forward, because she has the relationship and a cold link from a stranger would not be answered. That is a deliberate trade: it puts the packet one step from the person who knows the answers, so the message asks her directly not to discuss her reads. </w:t>
      </w:r>
      <w:r>
        <w:rPr>
          <w:rFonts w:ascii="Consolas" w:hAnsi="Consolas"/>
        </w:rPr>
        <w:t xml:space="preserve">Blind_Recheck_KEY_E08.md</w:t>
      </w:r>
      <w:r>
        <w:t xml:space="preserve"> goes to nobody, ever.</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