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
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  <w:spacing w:after="140"/>
      </w:pPr>
      <w:r>
        <w:t xml:space="preserve">Author-review notes, Journal of Business Ethics manuscript</w:t>
      </w:r>
    </w:p>
    <w:p>
      <w:pPr>
        <w:spacing w:after="140"/>
      </w:pPr>
      <w:r>
        <w:t xml:space="preserve">Send with the current </w:t>
      </w:r>
      <w:r>
        <w:rPr>
          <w:rFonts w:ascii="Consolas" w:hAnsi="Consolas"/>
        </w:rPr>
        <w:t xml:space="preserve">BusinessEthics_Article_Draft.md</w:t>
      </w:r>
      <w:r>
        <w:t xml:space="preserve">. Each note states the</w:t>
      </w:r>
    </w:p>
    <w:p>
      <w:pPr>
        <w:spacing w:after="140"/>
      </w:pPr>
      <w:r>
        <w:t xml:space="preserve">status honestly: reproducibility verified, reliability interim, employment</w:t>
      </w:r>
    </w:p>
    <w:p>
      <w:pPr>
        <w:spacing w:after="140"/>
      </w:pPr>
      <w:r>
        <w:t xml:space="preserve">criterion evidence complete at n = 22 and significant on the pre-registered</w:t>
      </w:r>
    </w:p>
    <w:p>
      <w:pPr>
        <w:spacing w:after="140"/>
      </w:pPr>
      <w:r>
        <w:t xml:space="preserve">coding. No claim beyond that is made anywhere in the manuscript.</w:t>
      </w:r>
    </w:p>
    <w:p>
      <w:pPr>
        <w:pBdr>
          <w:bottom w:val="single" w:sz="6" w:space="1" w:color="AAAAAA"/>
        </w:pBdr>
      </w:pPr>
    </w:p>
    <w:p>
      <w:pPr>
        <w:pStyle w:val="Heading2"/>
        <w:spacing w:after="140"/>
      </w:pPr>
      <w:r>
        <w:t xml:space="preserve">To Kyle McMullan</w:t>
      </w:r>
    </w:p>
    <w:p>
      <w:pPr>
        <w:spacing w:after="140"/>
      </w:pPr>
      <w:r>
        <w:t xml:space="preserve">Kyle,</w:t>
      </w:r>
    </w:p>
    <w:p>
      <w:pPr>
        <w:spacing w:after="140"/>
      </w:pPr>
      <w:r>
        <w:t xml:space="preserve">The draft is ready for your pass. Your section is 6.4, the audit and</w:t>
      </w:r>
    </w:p>
    <w:p>
      <w:pPr>
        <w:spacing w:after="140"/>
      </w:pPr>
      <w:r>
        <w:t xml:space="preserve">investigations lens, and I have written it as a frame rather than a finished</w:t>
      </w:r>
    </w:p>
    <w:p>
      <w:pPr>
        <w:spacing w:after="140"/>
      </w:pPr>
      <w:r>
        <w:t xml:space="preserve">text. Two asks. Rewrite it in your own voice and correct anything that does not</w:t>
      </w:r>
    </w:p>
    <w:p>
      <w:pPr>
        <w:spacing w:after="140"/>
      </w:pPr>
      <w:r>
        <w:t xml:space="preserve">match how audit and investigations actually work. And where the draft marks a</w:t>
      </w:r>
    </w:p>
    <w:p>
      <w:pPr>
        <w:spacing w:after="140"/>
      </w:pPr>
      <w:r>
        <w:t xml:space="preserve">spot, add one or two short de-identified illustrations from your own experience,</w:t>
      </w:r>
    </w:p>
    <w:p>
      <w:pPr>
        <w:spacing w:after="140"/>
      </w:pPr>
      <w:r>
        <w:t xml:space="preserve">no client names and no identifying detail, for each of the three failure</w:t>
      </w:r>
    </w:p>
    <w:p>
      <w:pPr>
        <w:spacing w:after="140"/>
      </w:pPr>
      <w:r>
        <w:t xml:space="preserve">patterns. Those examples are the part that makes the section land.</w:t>
      </w:r>
    </w:p>
    <w:p>
      <w:pPr>
        <w:spacing w:after="140"/>
      </w:pPr>
      <w:r>
        <w:t xml:space="preserve">Where the paper stands, so nothing surprises you. Cross-vendor reproducibility</w:t>
      </w:r>
    </w:p>
    <w:p>
      <w:pPr>
        <w:spacing w:after="140"/>
      </w:pPr>
      <w:r>
        <w:t xml:space="preserve">is verified at 84 percent across three independent providers. Reliability is</w:t>
      </w:r>
    </w:p>
    <w:p>
      <w:pPr>
        <w:spacing w:after="140"/>
      </w:pPr>
      <w:r>
        <w:t xml:space="preserve">reported as interim on 10 records, with the coefficients above the floor set in</w:t>
      </w:r>
    </w:p>
    <w:p>
      <w:pPr>
        <w:spacing w:after="140"/>
      </w:pPr>
      <w:r>
        <w:t xml:space="preserve">advance. The employment criterion pilot is complete at 22 adjudicated matters</w:t>
      </w:r>
    </w:p>
    <w:p>
      <w:pPr>
        <w:spacing w:after="140"/>
      </w:pPr>
      <w:r>
        <w:t xml:space="preserve">and shows a significant association on the pre-registered outcome coding, p =</w:t>
      </w:r>
    </w:p>
    <w:p>
      <w:pPr>
        <w:spacing w:after="140"/>
      </w:pPr>
      <w:r>
        <w:t xml:space="preserve">0.0073, with both alternative codings reported as sensitivity analyses and one</w:t>
      </w:r>
    </w:p>
    <w:p>
      <w:pPr>
        <w:spacing w:after="140"/>
      </w:pPr>
      <w:r>
        <w:t xml:space="preserve">counter-example retained. The paper stays in a validation-phase frame</w:t>
      </w:r>
    </w:p>
    <w:p>
      <w:pPr>
        <w:spacing w:after="140"/>
      </w:pPr>
      <w:r>
        <w:t xml:space="preserve">throughout and makes no claim that the standard improves outcomes.</w:t>
      </w:r>
    </w:p>
    <w:p>
      <w:pPr>
        <w:spacing w:after="140"/>
      </w:pPr>
      <w:r>
        <w:t xml:space="preserve">Your authorship becomes final on your substantive contribution to 6.4 and your</w:t>
      </w:r>
    </w:p>
    <w:p>
      <w:pPr>
        <w:spacing w:after="140"/>
      </w:pPr>
      <w:r>
        <w:t xml:space="preserve">review of the full manuscript. Take the section wherever your experience says it</w:t>
      </w:r>
    </w:p>
    <w:p>
      <w:pPr>
        <w:spacing w:after="140"/>
      </w:pPr>
      <w:r>
        <w:t xml:space="preserve">should go.</w:t>
      </w:r>
    </w:p>
    <w:p>
      <w:pPr>
        <w:spacing w:after="140"/>
      </w:pPr>
      <w:r>
        <w:t xml:space="preserve">Phillip Wikes</w:t>
      </w:r>
    </w:p>
    <w:p>
      <w:pPr>
        <w:pBdr>
          <w:bottom w:val="single" w:sz="6" w:space="1" w:color="AAAAAA"/>
        </w:pBdr>
      </w:pPr>
    </w:p>
    <w:p>
      <w:pPr>
        <w:pStyle w:val="Heading2"/>
        <w:spacing w:after="140"/>
      </w:pPr>
      <w:r>
        <w:t xml:space="preserve">To Ubayet Hossain</w:t>
      </w:r>
    </w:p>
    <w:p>
      <w:pPr>
        <w:spacing w:after="140"/>
      </w:pPr>
      <w:r>
        <w:t xml:space="preserve">Ubayet,</w:t>
      </w:r>
    </w:p>
    <w:p>
      <w:pPr>
        <w:spacing w:after="140"/>
      </w:pPr>
      <w:r>
        <w:t xml:space="preserve">The draft is ready for your review. Your contribution, the reference-panel</w:t>
      </w:r>
    </w:p>
    <w:p>
      <w:pPr>
        <w:spacing w:after="140"/>
      </w:pPr>
      <w:r>
        <w:t xml:space="preserve">design and the chance-corrected agreement framework with Gwet's AC1 as the</w:t>
      </w:r>
    </w:p>
    <w:p>
      <w:pPr>
        <w:spacing w:after="140"/>
      </w:pPr>
      <w:r>
        <w:t xml:space="preserve">pre-registered primary coefficient and the acceptance floors, is described in</w:t>
      </w:r>
    </w:p>
    <w:p>
      <w:pPr>
        <w:spacing w:after="140"/>
      </w:pPr>
      <w:r>
        <w:t xml:space="preserve">Section 4 and credited there by name.</w:t>
      </w:r>
    </w:p>
    <w:p>
      <w:pPr>
        <w:spacing w:after="140"/>
      </w:pPr>
      <w:r>
        <w:t xml:space="preserve">One change since we last spoke. The reliability result is back in the paper</w:t>
      </w:r>
    </w:p>
    <w:p>
      <w:pPr>
        <w:spacing w:after="140"/>
      </w:pPr>
      <w:r>
        <w:t xml:space="preserve">rather than held: AC1 of 0.739 among expert raters and 0.624 among trained</w:t>
      </w:r>
    </w:p>
    <w:p>
      <w:pPr>
        <w:spacing w:after="140"/>
      </w:pPr>
      <w:r>
        <w:t xml:space="preserve">reviewers, on 10 records and 99 labels, both above the 0.61 floor, reported as</w:t>
      </w:r>
    </w:p>
    <w:p>
      <w:pPr>
        <w:spacing w:after="140"/>
      </w:pPr>
      <w:r>
        <w:t xml:space="preserve">interim against the pooled target with the intervals described as wide. Section</w:t>
      </w:r>
    </w:p>
    <w:p>
      <w:pPr>
        <w:spacing w:after="140"/>
      </w:pPr>
      <w:r>
        <w:t xml:space="preserve">4 also now reports the per-condition analysis on the same corpus, which shows</w:t>
      </w:r>
    </w:p>
    <w:p>
      <w:pPr>
        <w:spacing w:after="140"/>
      </w:pPr>
      <w:r>
        <w:t xml:space="preserve">each of the five conditions separating the ends of the scale. The methodology</w:t>
      </w:r>
    </w:p>
    <w:p>
      <w:pPr>
        <w:spacing w:after="140"/>
      </w:pPr>
      <w:r>
        <w:t xml:space="preserve">you designed is unchanged; only what is reported from it has moved.</w:t>
      </w:r>
    </w:p>
    <w:p>
      <w:pPr>
        <w:spacing w:after="140"/>
      </w:pPr>
      <w:r>
        <w:t xml:space="preserve">I would like your sign-off that the methods text represents your framework</w:t>
      </w:r>
    </w:p>
    <w:p>
      <w:pPr>
        <w:spacing w:after="140"/>
      </w:pPr>
      <w:r>
        <w:t xml:space="preserve">accurately. Your co-authorship is final on your review and approval of this</w:t>
      </w:r>
    </w:p>
    <w:p>
      <w:pPr>
        <w:spacing w:after="140"/>
      </w:pPr>
      <w:r>
        <w:t xml:space="preserve">manuscript, as we agreed.</w:t>
      </w:r>
    </w:p>
    <w:p>
      <w:pPr>
        <w:spacing w:after="140"/>
      </w:pPr>
      <w:r>
        <w:t xml:space="preserve">Phillip Wikes</w:t>
      </w:r>
    </w:p>
    <w:p>
      <w:pPr>
        <w:pBdr>
          <w:bottom w:val="single" w:sz="6" w:space="1" w:color="AAAAAA"/>
        </w:pBdr>
      </w:pPr>
    </w:p>
    <w:p>
      <w:pPr>
        <w:pStyle w:val="Heading2"/>
        <w:spacing w:after="140"/>
      </w:pPr>
      <w:r>
        <w:t xml:space="preserve">To Tanvi Pokhriyal</w:t>
      </w:r>
    </w:p>
    <w:p>
      <w:pPr>
        <w:spacing w:after="140"/>
      </w:pPr>
      <w:r>
        <w:t xml:space="preserve">Tanvi,</w:t>
      </w:r>
    </w:p>
    <w:p>
      <w:pPr>
        <w:spacing w:after="140"/>
      </w:pPr>
      <w:r>
        <w:t xml:space="preserve">Your case set is the primary result of this paper, and you are listed as a</w:t>
      </w:r>
    </w:p>
    <w:p>
      <w:pPr>
        <w:spacing w:after="140"/>
      </w:pPr>
      <w:r>
        <w:t xml:space="preserve">co-author on that basis.</w:t>
      </w:r>
    </w:p>
    <w:p>
      <w:pPr>
        <w:spacing w:after="140"/>
      </w:pPr>
      <w:r>
        <w:t xml:space="preserve">Twenty-two adjudicated matters from 22 distinct sources across three</w:t>
      </w:r>
    </w:p>
    <w:p>
      <w:pPr>
        <w:spacing w:after="140"/>
      </w:pPr>
      <w:r>
        <w:t xml:space="preserve">jurisdictional systems, every read recorded from the decision record alone</w:t>
      </w:r>
    </w:p>
    <w:p>
      <w:pPr>
        <w:spacing w:after="140"/>
      </w:pPr>
      <w:r>
        <w:t xml:space="preserve">before you looked at how the matter resolved. On the outcome coding fixed in the</w:t>
      </w:r>
    </w:p>
    <w:p>
      <w:pPr>
        <w:spacing w:after="140"/>
      </w:pPr>
      <w:r>
        <w:t xml:space="preserve">protocol, records you flagged as incomplete drew an adverse finding in 7 of 9</w:t>
      </w:r>
    </w:p>
    <w:p>
      <w:pPr>
        <w:spacing w:after="140"/>
      </w:pPr>
      <w:r>
        <w:t xml:space="preserve">cases against 2 of 13 for the records you passed. Fisher's exact test,</w:t>
      </w:r>
    </w:p>
    <w:p>
      <w:pPr>
        <w:spacing w:after="140"/>
      </w:pPr>
      <w:r>
        <w:t xml:space="preserve">two-sided, p = 0.0073, odds ratio 19.25. Both alternative codings are reported</w:t>
      </w:r>
    </w:p>
    <w:p>
      <w:pPr>
        <w:spacing w:after="140"/>
      </w:pPr>
      <w:r>
        <w:t xml:space="preserve">as sensitivity analyses and run in the same direction, and the one</w:t>
      </w:r>
    </w:p>
    <w:p>
      <w:pPr>
        <w:spacing w:after="140"/>
      </w:pPr>
      <w:r>
        <w:t xml:space="preserve">counter-example, a Gap-read record that was sustained, is retained rather than</w:t>
      </w:r>
    </w:p>
    <w:p>
      <w:pPr>
        <w:spacing w:after="140"/>
      </w:pPr>
      <w:r>
        <w:t xml:space="preserve">dropped.</w:t>
      </w:r>
    </w:p>
    <w:p>
      <w:pPr>
        <w:spacing w:after="140"/>
      </w:pPr>
      <w:r>
        <w:t xml:space="preserve">Two things I would like from you. First, please check that Section 5 describes</w:t>
      </w:r>
    </w:p>
    <w:p>
      <w:pPr>
        <w:spacing w:after="140"/>
      </w:pPr>
      <w:r>
        <w:t xml:space="preserve">the pilot the way you actually ran it, including how outcomes were coded.</w:t>
      </w:r>
    </w:p>
    <w:p>
      <w:pPr>
        <w:spacing w:after="140"/>
      </w:pPr>
      <w:r>
        <w:t xml:space="preserve">Second, your written observations on what you saw across these cases, the</w:t>
      </w:r>
    </w:p>
    <w:p>
      <w:pPr>
        <w:spacing w:after="140"/>
      </w:pPr>
      <w:r>
        <w:t xml:space="preserve">documentation features that tended to precede a challenge or an adverse</w:t>
      </w:r>
    </w:p>
    <w:p>
      <w:pPr>
        <w:spacing w:after="140"/>
      </w:pPr>
      <w:r>
        <w:t xml:space="preserve">finding, would strengthen Section 6 and are yours to write in your own voice.</w:t>
      </w:r>
    </w:p>
    <w:p>
      <w:pPr>
        <w:spacing w:after="140"/>
      </w:pPr>
      <w:r>
        <w:t xml:space="preserve">Phillip Wikes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720" w:hanging="360"/>
      </w:pPr>
    </w:lvl>
  </w:abstractNum>
  <w:abstractNum w:abstractNumId="1">
    <w:lvl w:ilvl="0">
      <w:start w:val="1"/>
      <w:numFmt w:val="decimal"/>
      <w:lvlText w:val="%1.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paragraph" w:styleId="Normal" w:default="1">
    <w:name w:val="Normal"/>
  </w:style>
  <w:style w:type="paragraph" w:styleId="Heading1">
    <w:name w:val="heading 1"/>
    <w:basedOn w:val="Normal"/>
    <w:pPr>
      <w:outlineLvl w:val="0"/>
      <w:spacing w:before="240" w:after="120"/>
    </w:pPr>
    <w:rPr>
      <w:b/>
      <w:sz w:val="36"/>
    </w:rPr>
  </w:style>
  <w:style w:type="paragraph" w:styleId="Heading2">
    <w:name w:val="heading 2"/>
    <w:basedOn w:val="Normal"/>
    <w:pPr>
      <w:outlineLvl w:val="1"/>
      <w:spacing w:before="220" w:after="110"/>
    </w:pPr>
    <w:rPr>
      <w:b/>
      <w:sz w:val="28"/>
    </w:rPr>
  </w:style>
  <w:style w:type="paragraph" w:styleId="Heading3">
    <w:name w:val="heading 3"/>
    <w:basedOn w:val="Normal"/>
    <w:pPr>
      <w:outlineLvl w:val="2"/>
      <w:spacing w:before="200" w:after="100"/>
    </w:pPr>
    <w:rPr>
      <w:b/>
      <w:sz w:val="26"/>
    </w:rPr>
  </w:style>
  <w:style w:type="paragraph" w:styleId="Heading4">
    <w:name w:val="heading 4"/>
    <w:basedOn w:val="Normal"/>
    <w:pPr>
      <w:outlineLvl w:val="3"/>
    </w:pPr>
    <w:rPr>
      <w:b/>
      <w:i/>
    </w:rPr>
  </w:style>
  <w:style w:type="table" w:styleId="TableGrid">
    <w:name w:val="Table Grid"/>
  </w:style>
</w:styles>
</file>

<file path=word/_rels/document.xml.rels><?xml version="1.0" encoding="UTF-8" standalone="yes"?>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</Relationships>
</file>