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Blind re-read: ten public-records cases</w:t>
      </w:r>
    </w:p>
    <w:p>
      <w:pPr>
        <w:spacing w:after="140"/>
      </w:pPr>
      <w:r>
        <w:t xml:space="preserve">You are being asked to read ten records and answer one question about each. You are not being asked to check anyone's work, and you are not being shown anyone else's answers. There is no right total: some sets are mostly one category and some are mixed.</w:t>
      </w:r>
    </w:p>
    <w:p>
      <w:pPr>
        <w:pStyle w:val="Heading2"/>
        <w:spacing w:after="140"/>
      </w:pPr>
      <w:r>
        <w:t xml:space="preserve">What you are deciding</w:t>
      </w:r>
    </w:p>
    <w:p>
      <w:pPr>
        <w:spacing w:after="140"/>
      </w:pPr>
      <w:r>
        <w:t xml:space="preserve">For each case, read the source and answer this:</w:t>
      </w:r>
    </w:p>
    <w:p>
      <w:pPr>
        <w:spacing w:after="140"/>
      </w:pPr>
      <w:r>
        <w:t xml:space="preserve">&gt; Could a reviewer with no access to the author, no institutional memory, and no supplementary explanation identify the basis for each conclusion from the record alone?</w:t>
      </w:r>
    </w:p>
    <w:p>
      <w:pPr>
        <w:spacing w:after="140"/>
      </w:pPr>
      <w:r>
        <w:t xml:space="preserve">Choose one label per case.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Label</w:t>
            </w:r>
          </w:p>
        </w:tc>
        <w:tc>
          <w:tcPr>
            <w:tcW w:w="4680" w:type="dxa"/>
          </w:tcPr>
          <w:p>
            <w:pPr>
              <w:spacing w:after="0"/>
            </w:pPr>
            <w:r>
              <w:t xml:space="preserve">Use it when</w:t>
            </w:r>
          </w:p>
        </w:tc>
      </w:tr>
      <w:tr>
        <w:tc>
          <w:tcPr>
            <w:tcW w:w="4680" w:type="dxa"/>
          </w:tcPr>
          <w:p>
            <w:pPr>
              <w:spacing w:after="0"/>
            </w:pPr>
            <w:r>
              <w:rPr>
                <w:b/>
              </w:rPr>
              <w:t xml:space="preserve">Ready</w:t>
            </w:r>
          </w:p>
        </w:tc>
        <w:tc>
          <w:tcPr>
            <w:tcW w:w="4680" w:type="dxa"/>
          </w:tcPr>
          <w:p>
            <w:pPr>
              <w:spacing w:after="0"/>
            </w:pPr>
            <w:r>
              <w:t xml:space="preserve">The basis for each conclusion is present in the record and can be rebuilt from it without asking anyone.</w:t>
            </w:r>
          </w:p>
        </w:tc>
      </w:tr>
      <w:tr>
        <w:tc>
          <w:tcPr>
            <w:tcW w:w="4680" w:type="dxa"/>
          </w:tcPr>
          <w:p>
            <w:pPr>
              <w:spacing w:after="0"/>
            </w:pPr>
            <w:r>
              <w:rPr>
                <w:b/>
              </w:rPr>
              <w:t xml:space="preserve">Needs work</w:t>
            </w:r>
          </w:p>
        </w:tc>
        <w:tc>
          <w:tcPr>
            <w:tcW w:w="4680" w:type="dxa"/>
          </w:tcPr>
          <w:p>
            <w:pPr>
              <w:spacing w:after="0"/>
            </w:pPr>
            <w:r>
              <w:t xml:space="preserve">The record states conclusions whose basis is partly present, so a cold reader could reconstruct some of it and would have to assume the rest.</w:t>
            </w:r>
          </w:p>
        </w:tc>
      </w:tr>
      <w:tr>
        <w:tc>
          <w:tcPr>
            <w:tcW w:w="4680" w:type="dxa"/>
          </w:tcPr>
          <w:p>
            <w:pPr>
              <w:spacing w:after="0"/>
            </w:pPr>
            <w:r>
              <w:rPr>
                <w:b/>
              </w:rPr>
              <w:t xml:space="preserve">Gap</w:t>
            </w:r>
          </w:p>
        </w:tc>
        <w:tc>
          <w:tcPr>
            <w:tcW w:w="4680" w:type="dxa"/>
          </w:tcPr>
          <w:p>
            <w:pPr>
              <w:spacing w:after="0"/>
            </w:pPr>
            <w:r>
              <w:t xml:space="preserve">The record does not carry a reconstructable basis at all. A cold reader could not say why the conclusion was reached.</w:t>
            </w:r>
          </w:p>
        </w:tc>
      </w:tr>
    </w:tbl>
    <w:p>
      <w:pPr/>
      <w:r>
        <w:t/>
      </w:r>
    </w:p>
    <w:p>
      <w:pPr>
        <w:pStyle w:val="Heading2"/>
        <w:spacing w:after="140"/>
      </w:pPr>
      <w:r>
        <w:t xml:space="preserve">How to record your answers</w:t>
      </w:r>
    </w:p>
    <w:p>
      <w:pPr>
        <w:spacing w:after="140"/>
      </w:pPr>
      <w:r>
        <w:t xml:space="preserve">Reply with ten lines, one per case, in this format, and add a sentence saying what drove the call:</w:t>
      </w:r>
    </w:p>
    <w:p>
      <w:pPr>
        <w:spacing w:after="140"/>
      </w:pPr>
      <w:r>
        <w:rPr>
          <w:rFonts w:ascii="Consolas" w:hAnsi="Consolas"/>
        </w:rPr>
        <w:t xml:space="preserve">`</w:t>
      </w:r>
    </w:p>
    <w:p>
      <w:pPr>
        <w:spacing w:after="140"/>
      </w:pPr>
      <w:r>
        <w:t xml:space="preserve">Case 1: Ready. The determination text sets out the exemption claimed and the facts relied on.</w:t>
      </w:r>
    </w:p>
    <w:p>
      <w:pPr>
        <w:spacing w:after="140"/>
      </w:pPr>
      <w:r>
        <w:t xml:space="preserve">Case 2: Gap. ...</w:t>
      </w:r>
    </w:p>
    <w:p>
      <w:pPr>
        <w:spacing w:after="140"/>
      </w:pPr>
      <w:r>
        <w:rPr>
          <w:rFonts w:ascii="Consolas" w:hAnsi="Consolas"/>
        </w:rPr>
        <w:t xml:space="preserve">`</w:t>
      </w:r>
    </w:p>
    <w:p>
      <w:pPr>
        <w:pStyle w:val="Heading2"/>
        <w:spacing w:after="140"/>
      </w:pPr>
      <w:r>
        <w:t xml:space="preserve">Ground rules</w:t>
      </w:r>
    </w:p>
    <w:p>
      <w:pPr>
        <w:numPr>
          <w:ilvl w:val="0"/>
          <w:numId w:val="1"/>
        </w:numPr>
        <w:spacing w:after="60"/>
      </w:pPr>
      <w:r>
        <w:t xml:space="preserve">Read the source before deciding. The summary below is orientation, not the record.</w:t>
      </w:r>
    </w:p>
    <w:p>
      <w:pPr>
        <w:numPr>
          <w:ilvl w:val="0"/>
          <w:numId w:val="1"/>
        </w:numPr>
        <w:spacing w:after="60"/>
      </w:pPr>
      <w:r>
        <w:t xml:space="preserve">Do not look up how the case came out. If you already know, say so for that case and answer anyway; it will be noted rather than dropped.</w:t>
      </w:r>
    </w:p>
    <w:p>
      <w:pPr>
        <w:numPr>
          <w:ilvl w:val="0"/>
          <w:numId w:val="1"/>
        </w:numPr>
        <w:spacing w:after="60"/>
      </w:pPr>
      <w:r>
        <w:t xml:space="preserve">Do not discuss the cases with anyone else on the study until your answers are in.</w:t>
      </w:r>
    </w:p>
    <w:p>
      <w:pPr>
        <w:numPr>
          <w:ilvl w:val="0"/>
          <w:numId w:val="1"/>
        </w:numPr>
        <w:spacing w:after="60"/>
      </w:pPr>
      <w:r>
        <w:t xml:space="preserve">If a source is unreachable, write "unreachable" and move on.</w:t>
      </w:r>
    </w:p>
    <w:p>
      <w:pPr>
        <w:pBdr>
          <w:bottom w:val="single" w:sz="6" w:space="1" w:color="AAAAAA"/>
        </w:pBdr>
      </w:pPr>
    </w:p>
    <w:p>
      <w:pPr>
        <w:pStyle w:val="Heading3"/>
        <w:spacing w:after="140"/>
      </w:pPr>
      <w:r>
        <w:t xml:space="preserve">Case 1</w:t>
      </w:r>
    </w:p>
    <w:p>
      <w:pPr>
        <w:spacing w:after="140"/>
      </w:pPr>
      <w:r>
        <w:rPr>
          <w:b/>
        </w:rPr>
        <w:t xml:space="preserve">Source:</w:t>
      </w:r>
      <w:r>
        <w:t xml:space="preserve"> FOIL AO 19721 (Apr. 12, 2019), Committee on Open Government. https://docsopengovernment.dos.ny.gov/coog/ftext/f19721.htm?</w:t>
      </w:r>
    </w:p>
    <w:p>
      <w:pPr>
        <w:spacing w:after="140"/>
      </w:pPr>
      <w:r>
        <w:rPr>
          <w:b/>
        </w:rPr>
        <w:t xml:space="preserve">What the record is:</w:t>
      </w:r>
      <w:r>
        <w:t xml:space="preserve"> A requester sought multiple categories of records. The agency issued a blanket denial based on interference with law-enforcement investigations or judicial proceedings. The requester challenged the denial.</w:t>
      </w:r>
    </w:p>
    <w:p>
      <w:pPr>
        <w:spacing w:after="140"/>
      </w:pPr>
      <w:r>
        <w:rPr>
          <w:b/>
        </w:rPr>
        <w:t xml:space="preserve">Your call:</w:t>
      </w:r>
      <w:r>
        <w:t xml:space="preserve"> Ready / Needs work / Gap, and one sentence on why.</w:t>
      </w:r>
    </w:p>
    <w:p>
      <w:pPr>
        <w:pStyle w:val="Heading3"/>
        <w:spacing w:after="140"/>
      </w:pPr>
      <w:r>
        <w:t xml:space="preserve">Case 2</w:t>
      </w:r>
    </w:p>
    <w:p>
      <w:pPr>
        <w:spacing w:after="140"/>
      </w:pPr>
      <w:r>
        <w:rPr>
          <w:b/>
        </w:rPr>
        <w:t xml:space="preserve">Source:</w:t>
      </w:r>
      <w:r>
        <w:t xml:space="preserve"> 2025 NY Slip Op 03331   https://www.nycourts.gov/REPORTER/3dseries/2025/2025_03331.htm</w:t>
      </w:r>
    </w:p>
    <w:p>
      <w:pPr>
        <w:spacing w:after="140"/>
      </w:pPr>
      <w:r>
        <w:rPr>
          <w:b/>
        </w:rPr>
        <w:t xml:space="preserve">What the record is:</w:t>
      </w:r>
      <w:r>
        <w:t xml:space="preserve"> A requester sought records concerning convictions overturned because of prosecutorial misconduct, along with related records concerning misconduct investigations and disciplinary actions. The agency did not initially respond to the FOIL request and later opposed disclosure of most of the records. The agency asserted categorical exemptions but did not provide particularized justifications or redacted versions of the responsive records.</w:t>
      </w:r>
    </w:p>
    <w:p>
      <w:pPr>
        <w:spacing w:after="140"/>
      </w:pPr>
      <w:r>
        <w:rPr>
          <w:b/>
        </w:rPr>
        <w:t xml:space="preserve">Your call:</w:t>
      </w:r>
      <w:r>
        <w:t xml:space="preserve"> Ready / Needs work / Gap, and one sentence on why.</w:t>
      </w:r>
    </w:p>
    <w:p>
      <w:pPr>
        <w:pStyle w:val="Heading3"/>
        <w:spacing w:after="140"/>
      </w:pPr>
      <w:r>
        <w:t xml:space="preserve">Case 3</w:t>
      </w:r>
    </w:p>
    <w:p>
      <w:pPr>
        <w:spacing w:after="140"/>
      </w:pPr>
      <w:r>
        <w:rPr>
          <w:b/>
        </w:rPr>
        <w:t xml:space="preserve">Source:</w:t>
      </w:r>
      <w:r>
        <w:t xml:space="preserve"> https://www.osc.ny.gov/files/state-agencies/audits/pdf/sga-2023-20s12.pdf</w:t>
      </w:r>
    </w:p>
    <w:p>
      <w:pPr>
        <w:spacing w:after="140"/>
      </w:pPr>
      <w:r>
        <w:rPr>
          <w:b/>
        </w:rPr>
        <w:t xml:space="preserve">What the record is:</w:t>
      </w:r>
      <w:r>
        <w:t xml:space="preserve"> Auditors examined NYSDOT's claim that requested records had been provided. In at least one instance, the agency supplied an email stating that records had been sent but did not provide the actual documents it claimed were transmitted. Auditors concluded that an email alone was insufficient evidence of a completed response. The audit also stated that OSC could not conclude that the FOIL data supplied by the agency was complete.</w:t>
      </w:r>
    </w:p>
    <w:p>
      <w:pPr>
        <w:spacing w:after="140"/>
      </w:pPr>
      <w:r>
        <w:rPr>
          <w:b/>
        </w:rPr>
        <w:t xml:space="preserve">Your call:</w:t>
      </w:r>
      <w:r>
        <w:t xml:space="preserve"> Ready / Needs work / Gap, and one sentence on why.</w:t>
      </w:r>
    </w:p>
    <w:p>
      <w:pPr>
        <w:pStyle w:val="Heading3"/>
        <w:spacing w:after="140"/>
      </w:pPr>
      <w:r>
        <w:t xml:space="preserve">Case 4</w:t>
      </w:r>
    </w:p>
    <w:p>
      <w:pPr>
        <w:spacing w:after="140"/>
      </w:pPr>
      <w:r>
        <w:rPr>
          <w:b/>
        </w:rPr>
        <w:t xml:space="preserve">Source:</w:t>
      </w:r>
      <w:r>
        <w:t xml:space="preserve"> OIL AO 19746 (July 16, 2019), Committee on Open Government. https://docsopengovernment.dos.ny.gov/coog/ftext/f19746.htm?</w:t>
      </w:r>
    </w:p>
    <w:p>
      <w:pPr>
        <w:spacing w:after="140"/>
      </w:pPr>
      <w:r>
        <w:rPr>
          <w:b/>
        </w:rPr>
        <w:t xml:space="preserve">What the record is:</w:t>
      </w:r>
      <w:r>
        <w:t xml:space="preserve"> A requester sought records identifying winners or recipients of a public promotional program and describing what each recipient received. The agency denied access and upheld the denial on administrative appeal.</w:t>
      </w:r>
    </w:p>
    <w:p>
      <w:pPr>
        <w:spacing w:after="140"/>
      </w:pPr>
      <w:r>
        <w:rPr>
          <w:b/>
        </w:rPr>
        <w:t xml:space="preserve">Your call:</w:t>
      </w:r>
      <w:r>
        <w:t xml:space="preserve"> Ready / Needs work / Gap, and one sentence on why.</w:t>
      </w:r>
    </w:p>
    <w:p>
      <w:pPr>
        <w:pStyle w:val="Heading3"/>
        <w:spacing w:after="140"/>
      </w:pPr>
      <w:r>
        <w:t xml:space="preserve">Case 5</w:t>
      </w:r>
    </w:p>
    <w:p>
      <w:pPr>
        <w:spacing w:after="140"/>
      </w:pPr>
      <w:r>
        <w:rPr>
          <w:b/>
        </w:rPr>
        <w:t xml:space="preserve">Source:</w:t>
      </w:r>
      <w:r>
        <w:t xml:space="preserve"> 2025 NY Slip Op 32688(U) https://law.justia.com/cases/new-york/other-courts/2025/2025-ny-slip-op-32688-u.html</w:t>
      </w:r>
    </w:p>
    <w:p>
      <w:pPr>
        <w:spacing w:after="140"/>
      </w:pPr>
      <w:r>
        <w:rPr>
          <w:b/>
        </w:rPr>
        <w:t xml:space="preserve">What the record is:</w:t>
      </w:r>
      <w:r>
        <w:t xml:space="preserve"> A requester sought RFPs, contracts and reports concerning environmental-impact and planning work. The agency produced some records but heavily redacted portions of a contract and technical schedules, citing personal privacy, confidential commercial information and competitive injury. The requester appealed, arguing that the agency had not provided particularized and specific justifications for the redactions.</w:t>
      </w:r>
    </w:p>
    <w:p>
      <w:pPr>
        <w:spacing w:after="140"/>
      </w:pPr>
      <w:r>
        <w:rPr>
          <w:b/>
        </w:rPr>
        <w:t xml:space="preserve">Your call:</w:t>
      </w:r>
      <w:r>
        <w:t xml:space="preserve"> Ready / Needs work / Gap, and one sentence on why.</w:t>
      </w:r>
    </w:p>
    <w:p>
      <w:pPr>
        <w:pStyle w:val="Heading3"/>
        <w:spacing w:after="140"/>
      </w:pPr>
      <w:r>
        <w:t xml:space="preserve">Case 6</w:t>
      </w:r>
    </w:p>
    <w:p>
      <w:pPr>
        <w:spacing w:after="140"/>
      </w:pPr>
      <w:r>
        <w:rPr>
          <w:b/>
        </w:rPr>
        <w:t xml:space="preserve">Source:</w:t>
      </w:r>
      <w:r>
        <w:t xml:space="preserve"> 4 NY3d 477 (2005) https://www.nycourts.gov/reporter/3dseries/2005/2005_02357.htm</w:t>
      </w:r>
    </w:p>
    <w:p>
      <w:pPr>
        <w:spacing w:after="140"/>
      </w:pPr>
      <w:r>
        <w:rPr>
          <w:b/>
        </w:rPr>
        <w:t xml:space="preserve">What the record is:</w:t>
      </w:r>
      <w:r>
        <w:t xml:space="preserve"> The request sought transcripts, recordings, and oral histories relating to a major emergency response. Certain records were withheld under the privacy, intra-agency, and law enforcement exemptions.</w:t>
      </w:r>
    </w:p>
    <w:p>
      <w:pPr>
        <w:spacing w:after="140"/>
      </w:pPr>
      <w:r>
        <w:rPr>
          <w:b/>
        </w:rPr>
        <w:t xml:space="preserve">Your call:</w:t>
      </w:r>
      <w:r>
        <w:t xml:space="preserve"> Ready / Needs work / Gap, and one sentence on why.</w:t>
      </w:r>
    </w:p>
    <w:p>
      <w:pPr>
        <w:pStyle w:val="Heading3"/>
        <w:spacing w:after="140"/>
      </w:pPr>
      <w:r>
        <w:t xml:space="preserve">Case 7</w:t>
      </w:r>
    </w:p>
    <w:p>
      <w:pPr>
        <w:spacing w:after="140"/>
      </w:pPr>
      <w:r>
        <w:rPr>
          <w:b/>
        </w:rPr>
        <w:t xml:space="preserve">Source:</w:t>
      </w:r>
      <w:r>
        <w:t xml:space="preserve"> 2025 NY Slip Op 30848(U)  https://law.justia.com/cases/new-york/other-courts/2025/2025-ny-slip-op-30848-u.html</w:t>
      </w:r>
    </w:p>
    <w:p>
      <w:pPr>
        <w:spacing w:after="140"/>
      </w:pPr>
      <w:r>
        <w:rPr>
          <w:b/>
        </w:rPr>
        <w:t xml:space="preserve">What the record is:</w:t>
      </w:r>
      <w:r>
        <w:t xml:space="preserve"> A requester sought correspondence involving specified agency employees over a defined period. The agency repeatedly extended its estimated response date for approximately five years and had not issued a final determination. The agency later asserted that thousands of potentially responsive documents required individualized review.</w:t>
      </w:r>
    </w:p>
    <w:p>
      <w:pPr>
        <w:spacing w:after="140"/>
      </w:pPr>
      <w:r>
        <w:rPr>
          <w:b/>
        </w:rPr>
        <w:t xml:space="preserve">Your call:</w:t>
      </w:r>
      <w:r>
        <w:t xml:space="preserve"> Ready / Needs work / Gap, and one sentence on why.</w:t>
      </w:r>
    </w:p>
    <w:p>
      <w:pPr>
        <w:pStyle w:val="Heading3"/>
        <w:spacing w:after="140"/>
      </w:pPr>
      <w:r>
        <w:t xml:space="preserve">Case 8</w:t>
      </w:r>
    </w:p>
    <w:p>
      <w:pPr>
        <w:spacing w:after="140"/>
      </w:pPr>
      <w:r>
        <w:rPr>
          <w:b/>
        </w:rPr>
        <w:t xml:space="preserve">Source:</w:t>
      </w:r>
      <w:r>
        <w:t xml:space="preserve"> 31 NY3d 217 (2018) https://www.nycourts.gov/reporter/3dseries/2018/2018_02206.htm</w:t>
      </w:r>
    </w:p>
    <w:p>
      <w:pPr>
        <w:spacing w:after="140"/>
      </w:pPr>
      <w:r>
        <w:rPr>
          <w:b/>
        </w:rPr>
        <w:t xml:space="preserve">What the record is:</w:t>
      </w:r>
      <w:r>
        <w:t xml:space="preserve"> The request sought records whose existence, if acknowledged, could reveal information protected by statutory exemptions. The agency declined to confirm or deny whether responsive records existed.</w:t>
      </w:r>
    </w:p>
    <w:p>
      <w:pPr>
        <w:spacing w:after="140"/>
      </w:pPr>
      <w:r>
        <w:rPr>
          <w:b/>
        </w:rPr>
        <w:t xml:space="preserve">Your call:</w:t>
      </w:r>
      <w:r>
        <w:t xml:space="preserve"> Ready / Needs work / Gap, and one sentence on why.</w:t>
      </w:r>
    </w:p>
    <w:p>
      <w:pPr>
        <w:pStyle w:val="Heading3"/>
        <w:spacing w:after="140"/>
      </w:pPr>
      <w:r>
        <w:t xml:space="preserve">Case 9</w:t>
      </w:r>
    </w:p>
    <w:p>
      <w:pPr>
        <w:spacing w:after="140"/>
      </w:pPr>
      <w:r>
        <w:rPr>
          <w:b/>
        </w:rPr>
        <w:t xml:space="preserve">Source:</w:t>
      </w:r>
      <w:r>
        <w:t xml:space="preserve"> 2025 NY Slip Op 02207 https://www.nycourts.gov/Reporter/3dseries/2025/2025_02207.htm</w:t>
      </w:r>
    </w:p>
    <w:p>
      <w:pPr>
        <w:spacing w:after="140"/>
      </w:pPr>
      <w:r>
        <w:rPr>
          <w:b/>
        </w:rPr>
        <w:t xml:space="preserve">What the record is:</w:t>
      </w:r>
      <w:r>
        <w:t xml:space="preserve"> A requester sought law-enforcement disciplinary records. The agency disclosed some material but withheld records involving allegations classified as unsubstantiated, unfounded or exonerated, asserting that disclosure would constitute an unwarranted invasion of personal privacy. The requester administratively appealed.</w:t>
      </w:r>
    </w:p>
    <w:p>
      <w:pPr>
        <w:spacing w:after="140"/>
      </w:pPr>
      <w:r>
        <w:rPr>
          <w:b/>
        </w:rPr>
        <w:t xml:space="preserve">Your call:</w:t>
      </w:r>
      <w:r>
        <w:t xml:space="preserve"> Ready / Needs work / Gap, and one sentence on why.</w:t>
      </w:r>
    </w:p>
    <w:p>
      <w:pPr>
        <w:pStyle w:val="Heading3"/>
        <w:spacing w:after="140"/>
      </w:pPr>
      <w:r>
        <w:t xml:space="preserve">Case 10</w:t>
      </w:r>
    </w:p>
    <w:p>
      <w:pPr>
        <w:spacing w:after="140"/>
      </w:pPr>
      <w:r>
        <w:rPr>
          <w:b/>
        </w:rPr>
        <w:t xml:space="preserve">Source:</w:t>
      </w:r>
      <w:r>
        <w:t xml:space="preserve"> 2024 NY Slip Op 0407 https://www.nycourts.gov/reporter/3dseries/2024/2024_04071.htm?</w:t>
      </w:r>
    </w:p>
    <w:p>
      <w:pPr>
        <w:spacing w:after="140"/>
      </w:pPr>
      <w:r>
        <w:rPr>
          <w:b/>
        </w:rPr>
        <w:t xml:space="preserve">What the record is:</w:t>
      </w:r>
      <w:r>
        <w:t xml:space="preserve"> A requester sought law-enforcement disciplinary records, including records concerning substantiated and unsubstantiated misconduct allegations and records created before repeal of the former statutory confidentiality provision. The agency withheld categories of records. The administrative appeal partially granted access but continued to deny older records and raised reasonable-description concerns.</w:t>
      </w:r>
    </w:p>
    <w:p>
      <w:pPr>
        <w:spacing w:after="140"/>
      </w:pPr>
      <w:r>
        <w:rPr>
          <w:b/>
        </w:rPr>
        <w:t xml:space="preserve">Your call:</w:t>
      </w:r>
      <w:r>
        <w:t xml:space="preserve"> Ready / Needs work / Gap, and one sentence on why.</w:t>
      </w:r>
    </w:p>
    <w:p>
      <w:pPr>
        <w:pBdr>
          <w:bottom w:val="single" w:sz="6" w:space="1" w:color="AAAAAA"/>
        </w:pBdr>
      </w:pPr>
    </w:p>
    <w:p>
      <w:pPr>
        <w:spacing w:after="140"/>
      </w:pPr>
      <w:r>
        <w:t xml:space="preserve">That is all ten. Thank you for doing this: a second independent read is the one thing that turns a single-reader study into a measured one.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