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Employment pilot: two blocking defects, authorship, and venue</w:t>
      </w:r>
    </w:p>
    <w:p>
      <w:pPr>
        <w:spacing w:after="160" w:line="276" w:lineRule="auto"/>
      </w:pPr>
      <w:r>
        <w:rPr>
          <w:b/>
        </w:rPr>
        <w:t xml:space="preserve">The pilot is closed and the data is final.</w:t>
      </w:r>
      <w:r>
        <w:t xml:space="preserve"> `realcase_progress` for contributor</w:t>
      </w:r>
    </w:p>
    <w:p>
      <w:pPr>
        <w:spacing w:after="160" w:line="276" w:lineRule="auto"/>
      </w:pPr>
      <w:r>
        <w:t xml:space="preserve">V-HR-01, pulled live 2026-08-21, returns 22 cases with `last_at`</w:t>
      </w:r>
    </w:p>
    <w:p>
      <w:pPr>
        <w:spacing w:after="160" w:line="276" w:lineRule="auto"/>
      </w:pPr>
      <w:r>
        <w:t xml:space="preserve">2026-07-29T18:01:58. Nothing added in 23 days. Every cell in the manuscript</w:t>
      </w:r>
    </w:p>
    <w:p>
      <w:pPr>
        <w:spacing w:after="160" w:line="276" w:lineRule="auto"/>
      </w:pPr>
      <w:r>
        <w:t xml:space="preserve">reconciles to that row: cases 22, held_up 7, failed_appeal 7, challenged 6,</w:t>
      </w:r>
    </w:p>
    <w:p>
      <w:pPr>
        <w:spacing w:after="160" w:line="276" w:lineRule="auto"/>
      </w:pPr>
      <w:r>
        <w:t xml:space="preserve">jrs_ready 13, jrs_review 6, jrs_gap 3.</w:t>
      </w:r>
    </w:p>
    <w:p>
      <w:pPr>
        <w:spacing w:after="160" w:line="276" w:lineRule="auto"/>
      </w:pPr>
      <w:r>
        <w:rPr>
          <w:b/>
        </w:rPr>
        <w:t xml:space="preserve">Every statistic recomputes to the digit.</w:t>
      </w:r>
      <w:r>
        <w:t xml:space="preserve"> Fisher's exact 0.0073, odds ratio</w:t>
      </w:r>
    </w:p>
    <w:p>
      <w:pPr>
        <w:spacing w:after="160" w:line="276" w:lineRule="auto"/>
      </w:pPr>
      <w:r>
        <w:t xml:space="preserve">19.25, both Wilson intervals, and both alternative codings at 0.041 and 0.165 were</w:t>
      </w:r>
    </w:p>
    <w:p>
      <w:pPr>
        <w:spacing w:after="160" w:line="276" w:lineRule="auto"/>
      </w:pPr>
      <w:r>
        <w:t xml:space="preserve">recalculated from the cell counts and match the manuscript exactly. **The</w:t>
      </w:r>
    </w:p>
    <w:p>
      <w:pPr>
        <w:spacing w:after="160" w:line="276" w:lineRule="auto"/>
      </w:pPr>
      <w:r>
        <w:t xml:space="preserve">arithmetic was never the problem.**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1. Two defects that would have sunk this paper</w:t>
      </w:r>
    </w:p>
    <w:p>
      <w:pPr>
        <w:spacing w:after="160" w:line="276" w:lineRule="auto"/>
      </w:pPr>
      <w:r>
        <w:t xml:space="preserve">### Defect 1: the "pre-registered outcome coding" claim is unsupported</w:t>
      </w:r>
    </w:p>
    <w:p>
      <w:pPr>
        <w:spacing w:after="160" w:line="276" w:lineRule="auto"/>
      </w:pPr>
      <w:r>
        <w:t xml:space="preserve">The manuscript says it three times: *"Primary result, on the pre-registered</w:t>
      </w:r>
    </w:p>
    <w:p>
      <w:pPr>
        <w:spacing w:after="160" w:line="276" w:lineRule="auto"/>
      </w:pPr>
      <w:r>
        <w:t xml:space="preserve">outcome coding"</w:t>
      </w:r>
      <w:r>
        <w:rPr>
          <w:i/>
        </w:rPr>
        <w:t xml:space="preserve">, </w:t>
      </w:r>
      <w:r>
        <w:t xml:space="preserve">"The protocol fixes the primary outcome as an adverse</w:t>
      </w:r>
    </w:p>
    <w:p>
      <w:pPr>
        <w:spacing w:after="160" w:line="276" w:lineRule="auto"/>
      </w:pPr>
      <w:r>
        <w:t xml:space="preserve">finding"</w:t>
      </w:r>
      <w:r>
        <w:rPr>
          <w:i/>
        </w:rPr>
        <w:t xml:space="preserve">, and </w:t>
      </w:r>
      <w:r>
        <w:t xml:space="preserve">"The primary coding is the one fixed in the protocol."*</w:t>
      </w:r>
    </w:p>
    <w:p>
      <w:pPr>
        <w:spacing w:after="160" w:line="276" w:lineRule="auto"/>
      </w:pPr>
      <w:r>
        <w:rPr>
          <w:b/>
        </w:rPr>
        <w:t xml:space="preserve">No such protocol exists in this repository.</w:t>
      </w:r>
      <w:r>
        <w:t xml:space="preserve"> Searched:</w:t>
      </w:r>
    </w:p>
    <w:p>
      <w:pPr>
        <w:spacing w:after="160" w:line="276" w:lineRule="auto"/>
      </w:pPr>
      <w:r>
        <w:t xml:space="preserve">| File | Result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`research/JRS_PreRegistered_Analysis_Plan.md` | Zero hits on outcome, coding, adverse or challenged |</w:t>
      </w:r>
    </w:p>
    <w:p>
      <w:pPr>
        <w:spacing w:after="160" w:line="276" w:lineRule="auto"/>
      </w:pPr>
      <w:r>
        <w:t xml:space="preserve">| `research/OSF_PreRegistration.md:70` | Explicitly </w:t>
      </w:r>
      <w:r>
        <w:rPr>
          <w:b/>
        </w:rPr>
        <w:t xml:space="preserve">excludes</w:t>
      </w:r>
      <w:r>
        <w:t xml:space="preserve"> this stage: a pass "does not establish ... that DRR predicts real-world failure, those require external-validity and criterion-validity stages" |</w:t>
      </w:r>
    </w:p>
    <w:p>
      <w:pPr>
        <w:spacing w:after="160" w:line="276" w:lineRule="auto"/>
      </w:pPr>
      <w:r>
        <w:t xml:space="preserve">| `research/Tanvi_Pilot_Summary.md` | Describes the pilot, fixes no outcome coding |</w:t>
      </w:r>
    </w:p>
    <w:p>
      <w:pPr>
        <w:spacing w:after="160" w:line="276" w:lineRule="auto"/>
      </w:pPr>
      <w:r>
        <w:t xml:space="preserve">| `research/DRR_Detection_Validation_Protocol.md:102` | One general line about criterion validity as a stage, no coding rule |</w:t>
      </w:r>
    </w:p>
    <w:p>
      <w:pPr>
        <w:spacing w:after="160" w:line="276" w:lineRule="auto"/>
      </w:pPr>
      <w:r>
        <w:rPr>
          <w:b/>
        </w:rPr>
        <w:t xml:space="preserve">And the repository already warned about exactly this.</w:t>
      </w:r>
    </w:p>
    <w:p>
      <w:pPr>
        <w:spacing w:after="160" w:line="276" w:lineRule="auto"/>
      </w:pPr>
      <w:r>
        <w:t xml:space="preserve">`research/Tanvi_Criterion_Analysis_2026-08-01.md`, written 2026-08-01, three days</w:t>
      </w:r>
    </w:p>
    <w:p>
      <w:pPr>
        <w:spacing w:after="160" w:line="276" w:lineRule="auto"/>
      </w:pPr>
      <w:r>
        <w:t xml:space="preserve">after the data closed, lays out both codings with their p-values (0.10 and 0.006)</w:t>
      </w:r>
    </w:p>
    <w:p>
      <w:pPr>
        <w:spacing w:after="160" w:line="276" w:lineRule="auto"/>
      </w:pPr>
      <w:r>
        <w:t xml:space="preserve">and then says in terms:</w:t>
      </w:r>
    </w:p>
    <w:p>
      <w:pPr>
        <w:spacing w:after="160" w:line="276" w:lineRule="auto"/>
      </w:pPr>
      <w:r>
        <w:t xml:space="preserve">&gt; "Which coding is legitimate is </w:t>
      </w:r>
      <w:r>
        <w:rPr>
          <w:b/>
        </w:rPr>
        <w:t xml:space="preserve">not</w:t>
      </w:r>
      <w:r>
        <w:t xml:space="preserve"> a choice to make after seeing the</w:t>
      </w:r>
    </w:p>
    <w:p>
      <w:pPr>
        <w:spacing w:after="160" w:line="276" w:lineRule="auto"/>
      </w:pPr>
      <w:r>
        <w:t xml:space="preserve">&gt; p-values, it must be the coding fixed in the pre-registered real-case protocol.</w:t>
      </w:r>
    </w:p>
    <w:p>
      <w:pPr>
        <w:spacing w:after="160" w:line="276" w:lineRule="auto"/>
      </w:pPr>
      <w:r>
        <w:t xml:space="preserve">&gt; Picking Coding B because it clears 0.05, after seeing that Coding A does not, is</w:t>
      </w:r>
    </w:p>
    <w:p>
      <w:pPr>
        <w:spacing w:after="160" w:line="276" w:lineRule="auto"/>
      </w:pPr>
      <w:r>
        <w:t xml:space="preserve">&gt; the same cherry-picking trap that damages a paper."</w:t>
      </w:r>
    </w:p>
    <w:p>
      <w:pPr>
        <w:spacing w:after="160" w:line="276" w:lineRule="auto"/>
      </w:pPr>
      <w:r>
        <w:t xml:space="preserve">The manuscript then adopted Coding B and labelled it pre-registered. **That file</w:t>
      </w:r>
    </w:p>
    <w:p>
      <w:pPr>
        <w:spacing w:after="160" w:line="276" w:lineRule="auto"/>
      </w:pPr>
      <w:r>
        <w:t xml:space="preserve">asked for a protocol that was never produced, and the label was applied anyway.**</w:t>
      </w:r>
    </w:p>
    <w:p>
      <w:pPr>
        <w:spacing w:after="160" w:line="276" w:lineRule="auto"/>
      </w:pPr>
      <w:r>
        <w:t xml:space="preserve">This is the same defect class as the corpus-construction-log claim repaired out of</w:t>
      </w:r>
    </w:p>
    <w:p>
      <w:pPr>
        <w:spacing w:after="160" w:line="276" w:lineRule="auto"/>
      </w:pPr>
      <w:r>
        <w:t xml:space="preserve">the detection article at FINAL4, and it is worse here, because it converts a</w:t>
      </w:r>
    </w:p>
    <w:p>
      <w:pPr>
        <w:spacing w:after="160" w:line="276" w:lineRule="auto"/>
      </w:pPr>
      <w:r>
        <w:t xml:space="preserve">best-of-three exploratory choice into a claimed confirmatory test. A referee who</w:t>
      </w:r>
    </w:p>
    <w:p>
      <w:pPr>
        <w:spacing w:after="160" w:line="276" w:lineRule="auto"/>
      </w:pPr>
      <w:r>
        <w:t xml:space="preserve">asks for the registration and is told it does not exist does not request</w:t>
      </w:r>
    </w:p>
    <w:p>
      <w:pPr>
        <w:spacing w:after="160" w:line="276" w:lineRule="auto"/>
      </w:pPr>
      <w:r>
        <w:t xml:space="preserve">revisions. </w:t>
      </w:r>
      <w:r>
        <w:rPr>
          <w:b/>
        </w:rPr>
        <w:t xml:space="preserve">That is a desk rejection and a credibility event that travels.</w:t>
      </w:r>
    </w:p>
    <w:p>
      <w:pPr>
        <w:spacing w:after="160" w:line="276" w:lineRule="auto"/>
      </w:pPr>
      <w:r>
        <w:t xml:space="preserve">### Defect 2: the corpus is not blind, and the programme's own record says so</w:t>
      </w:r>
    </w:p>
    <w:p>
      <w:pPr>
        <w:spacing w:after="160" w:line="276" w:lineRule="auto"/>
      </w:pPr>
      <w:r>
        <w:t xml:space="preserve">`research/MASTER_TRACKER.md`, exploratory-sweep section 5:</w:t>
      </w:r>
    </w:p>
    <w:p>
      <w:pPr>
        <w:spacing w:after="160" w:line="276" w:lineRule="auto"/>
      </w:pPr>
      <w:r>
        <w:t xml:space="preserve">&gt; "The Rung 3 set is </w:t>
      </w:r>
      <w:r>
        <w:rPr>
          <w:b/>
        </w:rPr>
        <w:t xml:space="preserve">not blind</w:t>
      </w:r>
      <w:r>
        <w:t xml:space="preserve">: one contributor recorded both the JRS read and</w:t>
      </w:r>
    </w:p>
    <w:p>
      <w:pPr>
        <w:spacing w:after="160" w:line="276" w:lineRule="auto"/>
      </w:pPr>
      <w:r>
        <w:t xml:space="preserve">&gt; the outcome for their own corpus, with no separation of roles recorded in the</w:t>
      </w:r>
    </w:p>
    <w:p>
      <w:pPr>
        <w:spacing w:after="160" w:line="276" w:lineRule="auto"/>
      </w:pPr>
      <w:r>
        <w:t xml:space="preserve">&gt; data. Until reads and outcomes are assigned by different people, **no Rung 3</w:t>
      </w:r>
    </w:p>
    <w:p>
      <w:pPr>
        <w:spacing w:after="160" w:line="276" w:lineRule="auto"/>
      </w:pPr>
      <w:r>
        <w:t xml:space="preserve">&gt; association is interpretable, whatever its p-value.**"</w:t>
      </w:r>
    </w:p>
    <w:p>
      <w:pPr>
        <w:spacing w:after="160" w:line="276" w:lineRule="auto"/>
      </w:pPr>
      <w:r>
        <w:t xml:space="preserve">The manuscript's limitations disclosed a single reader. They did not disclose that</w:t>
      </w:r>
    </w:p>
    <w:p>
      <w:pPr>
        <w:spacing w:after="160" w:line="276" w:lineRule="auto"/>
      </w:pPr>
      <w:r>
        <w:t xml:space="preserve">the same person also assigned the outcomes. **Temporal separation, read fixed</w:t>
      </w:r>
    </w:p>
    <w:p>
      <w:pPr>
        <w:spacing w:after="160" w:line="276" w:lineRule="auto"/>
      </w:pPr>
      <w:r>
        <w:t xml:space="preserve">before outcome consulted, is real and worth stating. It is not role separation,</w:t>
      </w:r>
    </w:p>
    <w:p>
      <w:pPr>
        <w:spacing w:after="160" w:line="276" w:lineRule="auto"/>
      </w:pPr>
      <w:r>
        <w:t xml:space="preserve">and the tracker already ruled on which one matters.**</w:t>
      </w:r>
    </w:p>
    <w:p>
      <w:pPr>
        <w:spacing w:after="160" w:line="276" w:lineRule="auto"/>
      </w:pPr>
      <w:r>
        <w:t xml:space="preserve">### Also relevant: the multiplicity context</w:t>
      </w:r>
    </w:p>
    <w:p>
      <w:pPr>
        <w:spacing w:after="160" w:line="276" w:lineRule="auto"/>
      </w:pPr>
      <w:r>
        <w:t xml:space="preserve">The tracker records a 10-test exploratory sweep on the pooled n=54 Rung 3 set with</w:t>
      </w:r>
    </w:p>
    <w:p>
      <w:pPr>
        <w:spacing w:after="160" w:line="276" w:lineRule="auto"/>
      </w:pPr>
      <w:r>
        <w:t xml:space="preserve">a Bonferroni threshold of p &lt; 0.005. The HR corpus appears there twice, at</w:t>
      </w:r>
    </w:p>
    <w:p>
      <w:pPr>
        <w:spacing w:after="160" w:line="276" w:lineRule="auto"/>
      </w:pPr>
      <w:r>
        <w:t xml:space="preserve">p = 0.165. </w:t>
      </w:r>
      <w:r>
        <w:rPr>
          <w:b/>
        </w:rPr>
        <w:t xml:space="preserve">The manuscript's headline p = 0.0073 would not clear that threshold.</w:t>
      </w:r>
    </w:p>
    <w:p>
      <w:pPr>
        <w:spacing w:after="160" w:line="276" w:lineRule="auto"/>
      </w:pPr>
      <w:r>
        <w:t xml:space="preserve">The defence is that a pre-registered confirmatory test is not one of ten</w:t>
      </w:r>
    </w:p>
    <w:p>
      <w:pPr>
        <w:spacing w:after="160" w:line="276" w:lineRule="auto"/>
      </w:pPr>
      <w:r>
        <w:t xml:space="preserve">exploratory tests. That defence requires the pre-registration in Defect 1, which</w:t>
      </w:r>
    </w:p>
    <w:p>
      <w:pPr>
        <w:spacing w:after="160" w:line="276" w:lineRule="auto"/>
      </w:pPr>
      <w:r>
        <w:t xml:space="preserve">does not exist.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2. What was done about it</w:t>
      </w:r>
    </w:p>
    <w:p>
      <w:pPr>
        <w:spacing w:after="160" w:line="276" w:lineRule="auto"/>
      </w:pPr>
      <w:r>
        <w:t xml:space="preserve">`scripts/apply_business_ethics_completion.py`, 21 rules, 8 checks, 0 failed. It</w:t>
      </w:r>
    </w:p>
    <w:p>
      <w:pPr>
        <w:spacing w:after="160" w:line="276" w:lineRule="auto"/>
      </w:pPr>
      <w:r>
        <w:t xml:space="preserve">does </w:t>
      </w:r>
      <w:r>
        <w:rPr>
          <w:b/>
        </w:rPr>
        <w:t xml:space="preserve">not</w:t>
      </w:r>
      <w:r>
        <w:t xml:space="preserve"> delete the result and does not hedge it into nothing. It moves the</w:t>
      </w:r>
    </w:p>
    <w:p>
      <w:pPr>
        <w:spacing w:after="160" w:line="276" w:lineRule="auto"/>
      </w:pPr>
      <w:r>
        <w:t xml:space="preserve">paper from a confirmatory claim it cannot support to a pilot report it can.</w:t>
      </w:r>
    </w:p>
    <w:p>
      <w:pPr>
        <w:spacing w:after="160" w:line="276" w:lineRule="auto"/>
      </w:pPr>
      <w:r>
        <w:t xml:space="preserve">| Change | Why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Every pre-registration claim removed | Unsupported. Section 5.2 now opens by stating plainly that no analysis plan fixing a primary coding was recorded before the data closed |</w:t>
      </w:r>
    </w:p>
    <w:p>
      <w:pPr>
        <w:spacing w:after="160" w:line="276" w:lineRule="auto"/>
      </w:pPr>
      <w:r>
        <w:t xml:space="preserve">| Three codings reported with equal standing | The strongest was being presented as primary on a label that did not hold |</w:t>
      </w:r>
    </w:p>
    <w:p>
      <w:pPr>
        <w:spacing w:after="160" w:line="276" w:lineRule="auto"/>
      </w:pPr>
      <w:r>
        <w:t xml:space="preserve">| Dual role disclosed in </w:t>
      </w:r>
      <w:r>
        <w:rPr>
          <w:b/>
        </w:rPr>
        <w:t xml:space="preserve">Section 5.1</w:t>
      </w:r>
      <w:r>
        <w:t xml:space="preserve">, not only Section 7 | It is a design fact, and the tracker calls it disqualifying if hidden |</w:t>
      </w:r>
    </w:p>
    <w:p>
      <w:pPr>
        <w:spacing w:after="160" w:line="276" w:lineRule="auto"/>
      </w:pPr>
      <w:r>
        <w:t xml:space="preserve">| Title changed | "Criterion Evidence" asserted a validation tier the design cannot carry. Now "A Single-Reviewer Pilot", stating the design in the title |</w:t>
      </w:r>
    </w:p>
    <w:p>
      <w:pPr>
        <w:spacing w:after="160" w:line="276" w:lineRule="auto"/>
      </w:pPr>
      <w:r>
        <w:t xml:space="preserve">| Abstract written | It never existed. Emerald structured headings, </w:t>
      </w:r>
      <w:r>
        <w:rPr>
          <w:b/>
        </w:rPr>
        <w:t xml:space="preserve">249 words</w:t>
      </w:r>
      <w:r>
        <w:t xml:space="preserve"> against their stated 250 ceiling, with the coding dependence inside the abstract where a screening editor sees it |</w:t>
      </w:r>
    </w:p>
    <w:p>
      <w:pPr>
        <w:spacing w:after="160" w:line="276" w:lineRule="auto"/>
      </w:pPr>
      <w:r>
        <w:t xml:space="preserve">| Conclusion rewritten | Now reports an effect size and a corrected design rather than a finding, and ties each requirement of the next study to a specific defect in this one |</w:t>
      </w:r>
    </w:p>
    <w:p>
      <w:pPr>
        <w:spacing w:after="160" w:line="276" w:lineRule="auto"/>
      </w:pPr>
      <w:r>
        <w:t xml:space="preserve">| Kyle's 4 bracketed asks removed | Internal instructions to a co-author cannot ship inside a manuscript |</w:t>
      </w:r>
    </w:p>
    <w:p>
      <w:pPr>
        <w:spacing w:after="160" w:line="276" w:lineRule="auto"/>
      </w:pPr>
      <w:r>
        <w:t xml:space="preserve">| Competing-interests statement added | The revised author block referenced one that did not exist |</w:t>
      </w:r>
    </w:p>
    <w:p>
      <w:pPr>
        <w:spacing w:after="160" w:line="276" w:lineRule="auto"/>
      </w:pPr>
      <w:r>
        <w:t xml:space="preserve">| Selection mechanism named | A matter reaches adjudication because something was contested, which is selection on a variable related to the outcome |</w:t>
      </w:r>
    </w:p>
    <w:p>
      <w:pPr>
        <w:spacing w:after="160" w:line="276" w:lineRule="auto"/>
      </w:pPr>
      <w:r>
        <w:rPr>
          <w:b/>
        </w:rPr>
        <w:t xml:space="preserve">One fail-closed stub is deliberately left in the file:</w:t>
      </w:r>
    </w:p>
    <w:p>
      <w:pPr>
        <w:spacing w:after="160" w:line="276" w:lineRule="auto"/>
      </w:pPr>
      <w:r>
        <w:t xml:space="preserve">`[REQUIRED_ENV_PARAM: co-author declarations...]`. Pokhriyal, Hossain and</w:t>
      </w:r>
    </w:p>
    <w:p>
      <w:pPr>
        <w:spacing w:after="160" w:line="276" w:lineRule="auto"/>
      </w:pPr>
      <w:r>
        <w:t xml:space="preserve">McMullan must each confirm in writing whether they hold any financial interest in</w:t>
      </w:r>
    </w:p>
    <w:p>
      <w:pPr>
        <w:spacing w:after="160" w:line="276" w:lineRule="auto"/>
      </w:pPr>
      <w:r>
        <w:t xml:space="preserve">JRS. </w:t>
      </w:r>
      <w:r>
        <w:rPr>
          <w:b/>
        </w:rPr>
        <w:t xml:space="preserve">I did not invent those declarations.</w:t>
      </w:r>
      <w:r>
        <w:t xml:space="preserve"> The stub travels with the manuscript</w:t>
      </w:r>
    </w:p>
    <w:p>
      <w:pPr>
        <w:spacing w:after="160" w:line="276" w:lineRule="auto"/>
      </w:pPr>
      <w:r>
        <w:t xml:space="preserve">so the gap cannot be forgotten.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3. Who should be first author</w:t>
      </w:r>
    </w:p>
    <w:p>
      <w:pPr>
        <w:spacing w:after="160" w:line="276" w:lineRule="auto"/>
      </w:pPr>
      <w:r>
        <w:t xml:space="preserve">**Tanvi Pokhriyal first. Phillip Wikes senior and last. Hossain and McMullan in</w:t>
      </w:r>
    </w:p>
    <w:p>
      <w:pPr>
        <w:spacing w:after="160" w:line="276" w:lineRule="auto"/>
      </w:pPr>
      <w:r>
        <w:t xml:space="preserve">the middle.**</w:t>
      </w:r>
    </w:p>
    <w:p>
      <w:pPr>
        <w:spacing w:after="160" w:line="276" w:lineRule="auto"/>
      </w:pPr>
      <w:r>
        <w:rPr>
          <w:b/>
        </w:rPr>
        <w:t xml:space="preserve">Why not Phillip first.</w:t>
      </w:r>
      <w:r>
        <w:t xml:space="preserve"> The paper evaluates a standard Phillip created. With him</w:t>
      </w:r>
    </w:p>
    <w:p>
      <w:pPr>
        <w:spacing w:after="160" w:line="276" w:lineRule="auto"/>
      </w:pPr>
      <w:r>
        <w:t xml:space="preserve">as first author, the first thing a referee sees is the inventor reporting that his</w:t>
      </w:r>
    </w:p>
    <w:p>
      <w:pPr>
        <w:spacing w:after="160" w:line="276" w:lineRule="auto"/>
      </w:pPr>
      <w:r>
        <w:t xml:space="preserve">own instrument works, in a corpus he did not read, on a coding chosen after the</w:t>
      </w:r>
    </w:p>
    <w:p>
      <w:pPr>
        <w:spacing w:after="160" w:line="276" w:lineRule="auto"/>
      </w:pPr>
      <w:r>
        <w:t xml:space="preserve">data were in. Each of those is defensible alone. Stacked under his name at</w:t>
      </w:r>
    </w:p>
    <w:p>
      <w:pPr>
        <w:spacing w:after="160" w:line="276" w:lineRule="auto"/>
      </w:pPr>
      <w:r>
        <w:t xml:space="preserve">position one they are not, and no wording fixes an optic that structural.</w:t>
      </w:r>
    </w:p>
    <w:p>
      <w:pPr>
        <w:spacing w:after="160" w:line="276" w:lineRule="auto"/>
      </w:pPr>
      <w:r>
        <w:rPr>
          <w:b/>
        </w:rPr>
        <w:t xml:space="preserve">Why Tanvi first.</w:t>
      </w:r>
      <w:r>
        <w:t xml:space="preserve"> She generated every data point reported. She selected and</w:t>
      </w:r>
    </w:p>
    <w:p>
      <w:pPr>
        <w:spacing w:after="160" w:line="276" w:lineRule="auto"/>
      </w:pPr>
      <w:r>
        <w:t xml:space="preserve">screened all 22 matters, recorded all 22 reads, and recorded the outcomes. The</w:t>
      </w:r>
    </w:p>
    <w:p>
      <w:pPr>
        <w:spacing w:after="160" w:line="276" w:lineRule="auto"/>
      </w:pPr>
      <w:r>
        <w:t xml:space="preserve">paper is her case set. She was also promised named co-authorship in writing</w:t>
      </w:r>
    </w:p>
    <w:p>
      <w:pPr>
        <w:spacing w:after="160" w:line="276" w:lineRule="auto"/>
      </w:pPr>
      <w:r>
        <w:t xml:space="preserve">(`research/Message_Tanvi_Pokhriyal_CaseSet.md:11`), so this honours a commitment</w:t>
      </w:r>
    </w:p>
    <w:p>
      <w:pPr>
        <w:spacing w:after="160" w:line="276" w:lineRule="auto"/>
      </w:pPr>
      <w:r>
        <w:t xml:space="preserve">already made rather than creating a new one.</w:t>
      </w:r>
    </w:p>
    <w:p>
      <w:pPr>
        <w:spacing w:after="160" w:line="276" w:lineRule="auto"/>
      </w:pPr>
      <w:r>
        <w:rPr>
          <w:b/>
        </w:rPr>
        <w:t xml:space="preserve">The honest tension, stated rather than buried.</w:t>
      </w:r>
      <w:r>
        <w:t xml:space="preserve"> Tanvi is also the single</w:t>
      </w:r>
    </w:p>
    <w:p>
      <w:pPr>
        <w:spacing w:after="160" w:line="276" w:lineRule="auto"/>
      </w:pPr>
      <w:r>
        <w:t xml:space="preserve">non-blind dual-role reviewer, so first authorship puts her name on the design's</w:t>
      </w:r>
    </w:p>
    <w:p>
      <w:pPr>
        <w:spacing w:after="160" w:line="276" w:lineRule="auto"/>
      </w:pPr>
      <w:r>
        <w:t xml:space="preserve">principal weakness. That is the correct outcome. The weakness belongs to the</w:t>
      </w:r>
    </w:p>
    <w:p>
      <w:pPr>
        <w:spacing w:after="160" w:line="276" w:lineRule="auto"/>
      </w:pPr>
      <w:r>
        <w:t xml:space="preserve">design, the design is disclosed, and the alternative is Phillip taking first</w:t>
      </w:r>
    </w:p>
    <w:p>
      <w:pPr>
        <w:spacing w:after="160" w:line="276" w:lineRule="auto"/>
      </w:pPr>
      <w:r>
        <w:t xml:space="preserve">authorship to shield her from a limitation the paper states openly anyway. **She</w:t>
      </w:r>
    </w:p>
    <w:p>
      <w:pPr>
        <w:spacing w:after="160" w:line="276" w:lineRule="auto"/>
      </w:pPr>
      <w:r>
        <w:t xml:space="preserve">should be told exactly this before the order is fixed.** It is her name.</w:t>
      </w:r>
    </w:p>
    <w:p>
      <w:pPr>
        <w:spacing w:after="160" w:line="276" w:lineRule="auto"/>
      </w:pPr>
      <w:r>
        <w:rPr>
          <w:b/>
        </w:rPr>
        <w:t xml:space="preserve">Last-author position is not a demotion.</w:t>
      </w:r>
      <w:r>
        <w:t xml:space="preserve"> In empirical convention, first did the</w:t>
      </w:r>
    </w:p>
    <w:p>
      <w:pPr>
        <w:spacing w:after="160" w:line="276" w:lineRule="auto"/>
      </w:pPr>
      <w:r>
        <w:t xml:space="preserve">work and last ran the programme. Phillip keeps senior authorship, the framework</w:t>
      </w:r>
    </w:p>
    <w:p>
      <w:pPr>
        <w:spacing w:after="160" w:line="276" w:lineRule="auto"/>
      </w:pPr>
      <w:r>
        <w:t xml:space="preserve">credit, and the competing-interests disclosure that makes the whole thing legible.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4. Venue: not Journal of Business Ethics</w:t>
      </w:r>
    </w:p>
    <w:p>
      <w:pPr>
        <w:spacing w:after="160" w:line="276" w:lineRule="auto"/>
      </w:pPr>
      <w:r>
        <w:rPr>
          <w:b/>
        </w:rPr>
        <w:t xml:space="preserve">JBE is the wrong journal and always was.</w:t>
      </w:r>
      <w:r>
        <w:t xml:space="preserve"> It is FT50 and ABS 4*, publishing</w:t>
      </w:r>
    </w:p>
    <w:p>
      <w:pPr>
        <w:spacing w:after="160" w:line="276" w:lineRule="auto"/>
      </w:pPr>
      <w:r>
        <w:t xml:space="preserve">normative ethics theory and large-scale empirical work. A 22-case, single-reviewer,</w:t>
      </w:r>
    </w:p>
    <w:p>
      <w:pPr>
        <w:spacing w:after="160" w:line="276" w:lineRule="auto"/>
      </w:pPr>
      <w:r>
        <w:t xml:space="preserve">non-blind pilot with a coding-dependent result will be desk-rejected without</w:t>
      </w:r>
    </w:p>
    <w:p>
      <w:pPr>
        <w:spacing w:after="160" w:line="276" w:lineRule="auto"/>
      </w:pPr>
      <w:r>
        <w:t xml:space="preserve">review. Estimated acceptance </w:t>
      </w:r>
      <w:r>
        <w:rPr>
          <w:b/>
        </w:rPr>
        <w:t xml:space="preserve">under 5 percent</w:t>
      </w:r>
      <w:r>
        <w:t xml:space="preserve">, and a desk rejection there costs</w:t>
      </w:r>
    </w:p>
    <w:p>
      <w:pPr>
        <w:spacing w:after="160" w:line="276" w:lineRule="auto"/>
      </w:pPr>
      <w:r>
        <w:t xml:space="preserve">two to six weeks and teaches you nothing.</w:t>
      </w:r>
    </w:p>
    <w:p>
      <w:pPr>
        <w:spacing w:after="160" w:line="276" w:lineRule="auto"/>
      </w:pPr>
      <w:r>
        <w:rPr>
          <w:b/>
        </w:rPr>
        <w:t xml:space="preserve">Recommendation: Records Management Journal (Emerald), subscription route.</w:t>
      </w:r>
    </w:p>
    <w:p>
      <w:pPr>
        <w:spacing w:after="160" w:line="276" w:lineRule="auto"/>
      </w:pPr>
      <w:r>
        <w:t xml:space="preserve">Judged against the criteria your own `Venue_Decision_Detection_Paper_2026-08-05.md`</w:t>
      </w:r>
    </w:p>
    <w:p>
      <w:pPr>
        <w:spacing w:after="160" w:line="276" w:lineRule="auto"/>
      </w:pPr>
      <w:r>
        <w:t xml:space="preserve">used, which are the right ones:</w:t>
      </w:r>
    </w:p>
    <w:p>
      <w:pPr>
        <w:spacing w:after="160" w:line="276" w:lineRule="auto"/>
      </w:pPr>
      <w:r>
        <w:t xml:space="preserve">| Criterion | Records Management Journal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Cost | </w:t>
      </w:r>
      <w:r>
        <w:rPr>
          <w:b/>
        </w:rPr>
        <w:t xml:space="preserve">Emerald hybrid.</w:t>
      </w:r>
      <w:r>
        <w:t xml:space="preserve"> Subscription route carries no APC. Their OA route is £3,222 and is optional, not required. </w:t>
      </w:r>
      <w:r>
        <w:rPr>
          <w:b/>
        </w:rPr>
        <w:t xml:space="preserve">This is the deciding factor, same as last time</w:t>
      </w:r>
      <w:r>
        <w:t xml:space="preserve"> |</w:t>
      </w:r>
    </w:p>
    <w:p>
      <w:pPr>
        <w:spacing w:after="160" w:line="276" w:lineRule="auto"/>
      </w:pPr>
      <w:r>
        <w:t xml:space="preserve">| Scope | Recordkeeping, evidentiary sufficiency, documentation quality. The paper's actual subject, in the journal's own territory |</w:t>
      </w:r>
    </w:p>
    <w:p>
      <w:pPr>
        <w:spacing w:after="160" w:line="276" w:lineRule="auto"/>
      </w:pPr>
      <w:r>
        <w:t xml:space="preserve">| Collision | None. AI and Ethics holds the detection paper, Journal of Civic Information holds the FOIL paper, CCI holds the practitioner piece |</w:t>
      </w:r>
    </w:p>
    <w:p>
      <w:pPr>
        <w:spacing w:after="160" w:line="276" w:lineRule="auto"/>
      </w:pPr>
      <w:r>
        <w:t xml:space="preserve">| Tolerance for a pilot | A niche methods-and-practice journal reviews work at this scale. JBE does not |</w:t>
      </w:r>
    </w:p>
    <w:p>
      <w:pPr>
        <w:spacing w:after="160" w:line="276" w:lineRule="auto"/>
      </w:pPr>
      <w:r>
        <w:rPr>
          <w:b/>
        </w:rPr>
        <w:t xml:space="preserve">Estimated acceptance after revisions: 45 to 60 percent.</w:t>
      </w:r>
      <w:r>
        <w:t xml:space="preserve"> Reasoned judgment, not</w:t>
      </w:r>
    </w:p>
    <w:p>
      <w:pPr>
        <w:spacing w:after="160" w:line="276" w:lineRule="auto"/>
      </w:pPr>
      <w:r>
        <w:t xml:space="preserve">measured. What holds it there: n=22, one reviewer, dual role, no pre-registration,</w:t>
      </w:r>
    </w:p>
    <w:p>
      <w:pPr>
        <w:spacing w:after="160" w:line="276" w:lineRule="auto"/>
      </w:pPr>
      <w:r>
        <w:t xml:space="preserve">no institutional affiliation. What supports it: a real-outcome corpus across three</w:t>
      </w:r>
    </w:p>
    <w:p>
      <w:pPr>
        <w:spacing w:after="160" w:line="276" w:lineRule="auto"/>
      </w:pPr>
      <w:r>
        <w:t xml:space="preserve">jurisdictional systems, a large effect, complete and honest reporting of three</w:t>
      </w:r>
    </w:p>
    <w:p>
      <w:pPr>
        <w:spacing w:after="160" w:line="276" w:lineRule="auto"/>
      </w:pPr>
      <w:r>
        <w:t xml:space="preserve">codings including the null, and a specified confirmatory design.</w:t>
      </w:r>
    </w:p>
    <w:p>
      <w:pPr>
        <w:spacing w:after="160" w:line="276" w:lineRule="auto"/>
      </w:pPr>
      <w:r>
        <w:rPr>
          <w:b/>
        </w:rPr>
        <w:t xml:space="preserve">Two items I could not verify and am not going to guess.</w:t>
      </w:r>
      <w:r>
        <w:t xml:space="preserve"> RMJ's specific word</w:t>
      </w:r>
    </w:p>
    <w:p>
      <w:pPr>
        <w:spacing w:after="160" w:line="276" w:lineRule="auto"/>
      </w:pPr>
      <w:r>
        <w:t xml:space="preserve">ceiling: their author-guidelines page returns 403 to this environment. The Emerald</w:t>
      </w:r>
    </w:p>
    <w:p>
      <w:pPr>
        <w:spacing w:after="160" w:line="276" w:lineRule="auto"/>
      </w:pPr>
      <w:r>
        <w:t xml:space="preserve">rule counts abstract, references and table text plus 280 words per table, which</w:t>
      </w:r>
    </w:p>
    <w:p>
      <w:pPr>
        <w:spacing w:after="160" w:line="276" w:lineRule="auto"/>
      </w:pPr>
      <w:r>
        <w:t xml:space="preserve">puts this manuscript at </w:t>
      </w:r>
      <w:r>
        <w:rPr>
          <w:b/>
        </w:rPr>
        <w:t xml:space="preserve">4,538</w:t>
      </w:r>
      <w:r>
        <w:t xml:space="preserve">. Check the ceiling on the journal page before</w:t>
      </w:r>
    </w:p>
    <w:p>
      <w:pPr>
        <w:spacing w:after="160" w:line="276" w:lineRule="auto"/>
      </w:pPr>
      <w:r>
        <w:t xml:space="preserve">submitting. Second, confirm RMJ's current hybrid status directly rather than from</w:t>
      </w:r>
    </w:p>
    <w:p>
      <w:pPr>
        <w:spacing w:after="160" w:line="276" w:lineRule="auto"/>
      </w:pPr>
      <w:r>
        <w:t xml:space="preserve">Emerald's general policy page.</w:t>
      </w:r>
    </w:p>
    <w:p>
      <w:pPr>
        <w:spacing w:after="160" w:line="276" w:lineRule="auto"/>
      </w:pPr>
      <w:r>
        <w:rPr>
          <w:b/>
        </w:rPr>
        <w:t xml:space="preserve">Fallback ladder if RMJ declines:</w:t>
      </w:r>
      <w:r>
        <w:t xml:space="preserve"> </w:t>
      </w:r>
      <w:r>
        <w:rPr>
          <w:i/>
        </w:rPr>
        <w:t xml:space="preserve">International Journal of Law and Management</w:t>
      </w:r>
    </w:p>
    <w:p>
      <w:pPr>
        <w:spacing w:after="160" w:line="276" w:lineRule="auto"/>
      </w:pPr>
      <w:r>
        <w:t xml:space="preserve">(Emerald, same cost model), then *Journal of Information, Communication and Ethics</w:t>
      </w:r>
    </w:p>
    <w:p>
      <w:pPr>
        <w:spacing w:after="160" w:line="276" w:lineRule="auto"/>
      </w:pPr>
      <w:r>
        <w:t xml:space="preserve">in Society*.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5. Do not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Do not submit to JBE.</w:t>
      </w:r>
      <w:r>
        <w:t xml:space="preserve"> The retitle and reframe do not make it a JBE paper;</w:t>
      </w:r>
    </w:p>
    <w:p>
      <w:pPr>
        <w:spacing w:after="160" w:line="276" w:lineRule="auto"/>
      </w:pPr>
      <w:r>
        <w:t xml:space="preserve">  they make it an honest paper for a smaller journal.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Do not restore any pre-registration language</w:t>
      </w:r>
      <w:r>
        <w:t xml:space="preserve"> to make the result look</w:t>
      </w:r>
    </w:p>
    <w:p>
      <w:pPr>
        <w:spacing w:after="160" w:line="276" w:lineRule="auto"/>
      </w:pPr>
      <w:r>
        <w:t xml:space="preserve">  stronger. It is the single most damaging sentence available to this manuscript.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Do not drop the p = 0.165 coding.</w:t>
      </w:r>
      <w:r>
        <w:t xml:space="preserve"> Reporting the null coding alongside the</w:t>
      </w:r>
    </w:p>
    <w:p>
      <w:pPr>
        <w:spacing w:after="160" w:line="276" w:lineRule="auto"/>
      </w:pPr>
      <w:r>
        <w:t xml:space="preserve">  significant one is most of this paper's credibility.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Do not submit before the four co-author confirmations</w:t>
      </w:r>
      <w:r>
        <w:t xml:space="preserve">: Tanvi on the</w:t>
      </w:r>
    </w:p>
    <w:p>
      <w:pPr>
        <w:spacing w:after="160" w:line="276" w:lineRule="auto"/>
      </w:pPr>
      <w:r>
        <w:t xml:space="preserve">  authorship order and on Section 5 describing the pilot as she ran it, Hossain on</w:t>
      </w:r>
    </w:p>
    <w:p>
      <w:pPr>
        <w:spacing w:after="160" w:line="276" w:lineRule="auto"/>
      </w:pPr>
      <w:r>
        <w:t xml:space="preserve">  Section 4, McMullan on 6.4, and all three on competing interests.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Do not reopen the pilot to reach 30 cases.</w:t>
      </w:r>
      <w:r>
        <w:t xml:space="preserve"> It stalled at 22 on 29 July.</w:t>
      </w:r>
    </w:p>
    <w:p>
      <w:pPr>
        <w:spacing w:after="160" w:line="276" w:lineRule="auto"/>
      </w:pPr>
      <w:r>
        <w:t xml:space="preserve">  Adding cases now, after the analysis is known, is a worse problem than n=22.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