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(Associate Director, Model Validation, KPMG India).</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contested, or defended. We name this property Decision Reconstruction Risk (DRR) and define it as a relational property of the record, the decision it documents, and the information available to an independent reviewer.</w:t>
      </w:r>
    </w:p>
    <w:p>
      <w:pPr>
        <w:spacing w:after="140"/>
      </w:pPr>
      <w:r>
        <w:rPr>
          <w:b/>
        </w:rPr>
        <w:t xml:space="preserve">Objective.</w:t>
      </w:r>
      <w:r>
        <w:t xml:space="preserve"> This paper asks a single question, which is an initial question a measurement programme must address: given an operational definition of DRR, can independent domain experts distinguish records that satisfy it from records that do not? If they cannot, a governance control resting on human review of that property would lack an adequate empirical basis.</w:t>
      </w:r>
    </w:p>
    <w:p>
      <w:pPr>
        <w:spacing w:after="140"/>
      </w:pPr>
      <w:r>
        <w:rPr>
          <w:b/>
        </w:rPr>
        <w:t xml:space="preserve">Methods.</w:t>
      </w:r>
      <w:r>
        <w:t xml:space="preserve"> A balanced corpus of 24 constructed, de-identified, AI-generated records (12 grounded, 12 unsupported) was judged by an international panel of independent experts against a pre-specified reference classification fixed before recruitment and independently reproduced by automated raters without access to it. Reviewers worked independently, blind to that classification and to one another, in a personal capacity. Analysis followed a plan registered before the data were examined, with decision thresholds set in advance. Accuracy is analysed at the participant level, treating each reviewer rather than each read as the unit of observation.</w:t>
      </w:r>
    </w:p>
    <w:p>
      <w:pPr>
        <w:spacing w:after="140"/>
      </w:pPr>
      <w:r>
        <w:rPr>
          <w:b/>
        </w:rPr>
        <w:t xml:space="preserve">Result.</w:t>
      </w:r>
      <w:r>
        <w:t xml:space="preserve"> Sixteen reviewers across 11 countries on 5 continents completed the full corpus, producing 384 graded reads. Panel accuracy against the reference classification was 83.9 percent (95 percent CI 72.7 to 95.1 at participant level), with sensitivity 87.0 percent for unsupported records and specificity 80.7 percent for grounded ones. This clears the pre-registered detection threshold, which required a point estimate of at least 70 percent with the lower confidence bound above chance. Reviewer-level accuracy ranged from 37.5 to 100 percent (SD 21.0), a dispersion that is reported as a finding in its own right rather than as noise around the mean.</w:t>
      </w:r>
    </w:p>
    <w:p>
      <w:pPr>
        <w:spacing w:after="140"/>
      </w:pPr>
      <w:r>
        <w:rPr>
          <w:b/>
        </w:rPr>
        <w:t xml:space="preserve">What this establishes and what it does not.</w:t>
      </w:r>
      <w:r>
        <w:t xml:space="preserve"> It establishes that an operationalised documentation-risk construct is detectable by independent experts on constructed records at the two ends of the severity range. It does not establish criterion validity against real documentation, measurement invariance across jurisdictions, workflow independence, psychometric validation of the five conditions, or any advantage of the instrument over unaided expert judgment. Each of those is a separate study, and Section 10 sets out the programme they belong to.</w:t>
      </w:r>
    </w:p>
    <w:p>
      <w:pPr>
        <w:spacing w:after="140"/>
      </w:pPr>
      <w:r>
        <w:rPr>
          <w:b/>
        </w:rPr>
        <w:t xml:space="preserve">Registration.</w:t>
      </w:r>
      <w:r>
        <w:t xml:space="preserve"> The protocol and analysis plan were registered before data collection. Data closed 15 August 2026.</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cannot reliably distinguish records whose reasoning is present from those whose reasoning is absent under the stated reviewer standpoint, then a governance control that depends on human review of that property would lack an adequate empirical basis.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 reference classification reproduced by automated raters without access to it, blinded expert detection, and a pre-registered statistical criterion. The chain provides evidence that the operationalisation is recognisable to independent experts under the stated reviewer standpoint and briefing.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(Mitchell et al., 2019). Datasheets document a dataset's provenance and composition (Gebru et al., 2021). Internal audit frameworks trace an organisation's development lifecycle (Raji et al., 2020). Risk management frameworks specify functions an organisation should perform (NIST, 2023; ISO/IEC 42001:2023). Regulatory regimes require logging, technical documentation, and human oversight for high-risk systems (Regulation (EU) 2024/1689).</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(2021)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(Burrell, 2016; Selbst and Barocas, 2018)</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(Raji et al., 2020)</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(Regulation (EU) 2024/1689)</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(Gebru et al., 2021)</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(Almada, 2019; Kaminski and Urban, 2021)</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(Citron, 2008; Citron and Pasquale, 2014)</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(Cobbe et al., 2021)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rPr>
                <w:b/>
              </w:rPr>
              <w:t xml:space="preserve">DRR</w:t>
            </w:r>
          </w:p>
        </w:tc>
        <w:tc>
          <w:tcPr>
            <w:tcW w:w="2340" w:type="dxa"/>
          </w:tcPr>
          <w:p>
            <w:pPr>
              <w:spacing w:after="0"/>
            </w:pPr>
            <w:r>
              <w:rPr>
                <w:b/>
              </w:rPr>
              <w:t xml:space="preserve">the individual record</w:t>
            </w:r>
          </w:p>
        </w:tc>
        <w:tc>
          <w:tcPr>
            <w:tcW w:w="2340" w:type="dxa"/>
          </w:tcPr>
          <w:p>
            <w:pPr>
              <w:spacing w:after="0"/>
            </w:pPr>
            <w:r>
              <w:rPr>
                <w:b/>
              </w:rP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to our knowledge,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(Bender et al., 2021; Ji et al., 2023).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(2016) distinguishes opacity arising from technical complexity, from proprietary concealment, and from the mismatch between machine representation and human reasoning. The variety at issue here is documentation-layer opacity: a record that is entirely human-readable, contains no technical artefact, and is nonetheless opaque as to the basis of its own conclusion, because fluent prose has been substituted for evidentiary content. Ananny and Crawford (2018)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base rate and the detectability of the failure,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w:t>
      </w:r>
      <w:r>
        <w:rPr>
          <w:b/>
        </w:rPr>
        <w:t xml:space="preserve">an independent reviewer, competent in the domain, with access to the record and to generally available domain knowledge, and without access to the original decision-maker or to material outside the record.</w:t>
      </w:r>
      <w:r>
        <w:t xml:space="preserve">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(2021)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(2019) and Kaminski and Urban (2021)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(2008)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(2007)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descriptive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w:t>
      </w:r>
      <w:r>
        <w:rPr>
          <w:b/>
        </w:rPr>
        <w:t xml:space="preserve">Note that author-blindness is a design intention of the instrument and is not a finding of this study.</w:t>
      </w:r>
      <w:r>
        <w:t xml:space="preserve">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pilot reviewer Saurabh Nanda and is credited with his permission. </w:t>
      </w:r>
      <w:r>
        <w:rPr>
          <w:b/>
        </w:rPr>
        <w:t xml:space="preserve">It is untested.</w:t>
      </w:r>
      <w:r>
        <w:t xml:space="preserve">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designed to be vendor-, model-, and workflow-agnostic: it evaluates the documentary output rather than the technology or drafting process that produced it.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Independent reproduction of an author-generated reference classification by automated raters not involved in corpus construction</w:t>
            </w:r>
          </w:p>
        </w:tc>
        <w:tc>
          <w:tcPr>
            <w:tcW w:w="3120" w:type="dxa"/>
          </w:tcPr>
          <w:p>
            <w:pPr>
              <w:spacing w:after="0"/>
            </w:pPr>
            <w:r>
              <w:t xml:space="preserve">Section 4.4, independently reproduced but construct-dependent</w:t>
            </w:r>
          </w:p>
        </w:tc>
      </w:tr>
      <w:tr>
        <w:tc>
          <w:tcPr>
            <w:tcW w:w="3120" w:type="dxa"/>
          </w:tcPr>
          <w:p>
            <w:pPr>
              <w:spacing w:after="0"/>
            </w:pPr>
            <w:r>
              <w:t xml:space="preserve">Blinded detection</w:t>
            </w:r>
          </w:p>
        </w:tc>
        <w:tc>
          <w:tcPr>
            <w:tcW w:w="3120" w:type="dxa"/>
          </w:tcPr>
          <w:p>
            <w:pPr>
              <w:spacing w:after="0"/>
            </w:pPr>
            <w:r>
              <w:t xml:space="preserve">Independent judges, blind to the reference classification</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rPr>
                <w:b/>
              </w:rPr>
              <w:t xml:space="preserve">Not attempted.</w:t>
            </w:r>
            <w:r>
              <w:t xml:space="preserve">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rPr>
                <w:b/>
              </w:rPr>
              <w:t xml:space="preserve">Not attempted.</w:t>
            </w:r>
            <w:r>
              <w:t xml:space="preserve">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pre-specified reference classification independently reproduced by automated raters without access to that classification or to one another's judgments. There is no control arm by design: the panel is measured against a reference classification, not against another group. A separate randomised comparison study, which does have arms, tests a different question, closed on 15 August 2026, and is reported separately. Its participants are a separate set of credentialed professionals recruited from the same professional population and randomised between review methods, so its two conditions differ in the method applied and not in the expertise of the people applying it.</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The generation prompts, the model and version used for each record, the generation dates, and the extent of human editing per record are recorded in the corpus construction log, which is part of the materials released under the data-availability terms in Section 11.</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(Ransohoff and Feinstein, 1978; Whiting et al., 2011).</w:t>
      </w:r>
    </w:p>
    <w:p>
      <w:pPr>
        <w:spacing w:after="140"/>
      </w:pPr>
      <w:r>
        <w:t xml:space="preserve">The consequence is specific and we accept it: </w:t>
      </w:r>
      <w:r>
        <w:rPr>
          <w:b/>
        </w:rPr>
        <w:t xml:space="preserve">the accuracy reported in Section 6 may overstate performance on a corpus containing ambiguous records and should not be interpreted as an estimate of field performance.</w:t>
      </w:r>
      <w:r>
        <w:t xml:space="preserv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reference classification, and how it was established</w:t>
      </w:r>
    </w:p>
    <w:p>
      <w:pPr>
        <w:spacing w:after="140"/>
      </w:pPr>
      <w:r>
        <w:t xml:space="preserve">The reference classification is the comparison standard underlying the primary accuracy estimates, and it is treated here as a methodological object rather than as a formality.</w:t>
      </w:r>
    </w:p>
    <w:p>
      <w:pPr>
        <w:spacing w:after="140"/>
      </w:pPr>
      <w:r>
        <w:rPr>
          <w:b/>
        </w:rPr>
        <w:t xml:space="preserve">Author-side classification.</w:t>
      </w:r>
      <w:r>
        <w:t xml:space="preserve"> Before verification began,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 by automated raters.</w:t>
      </w:r>
      <w:r>
        <w:t xml:space="preserve"> The author-side classification was independently checked using three separate large-language-model instances applying the operational classification rule. These were automated raters, not human raters, and no expert or professional status is claimed for them. Each instance independently classified all 24 records without access to the intended labels or to the author-side classification, producing </w:t>
      </w:r>
      <w:r>
        <w:rPr>
          <w:b/>
        </w:rPr>
        <w:t xml:space="preserve">72 record-level classifications</w:t>
      </w:r>
      <w:r>
        <w:t xml:space="preserve">. The verification packet identified the task as verification of an answer key but did not provide the intended record-level classifications. All three model passes reproduced the intended classification on all 24 records, so the pre-specified adjudication condition was not triggered and no classification changed. The pre-registered procedure specified two independent passes with conditional adjudication; the executed procedure used three.</w:t>
      </w:r>
    </w:p>
    <w:p>
      <w:pPr>
        <w:spacing w:after="140"/>
      </w:pPr>
      <w:r>
        <w:rPr>
          <w:b/>
        </w:rPr>
        <w:t xml:space="preserve">What the automated check does not do.</w:t>
      </w:r>
      <w:r>
        <w:t xml:space="preserve"> The automated reference check demonstrates reproducibility of the operational classification rule across three independent model passes; it does not constitute independent human validation of the reference labels and does not establish criterion validity. No human replication of the reference classification has been performed.</w:t>
      </w:r>
    </w:p>
    <w:p>
      <w:pPr>
        <w:spacing w:after="140"/>
      </w:pPr>
      <w:r>
        <w:rPr>
          <w:b/>
        </w:rPr>
        <w:t xml:space="preserve">What this establishes, and what it does not.</w:t>
      </w:r>
      <w:r>
        <w:t xml:space="preserve"> Unanimous reproduction by automated raters without access to the intended labels rules out the objection that the reference classification was fitted to the reviewers' responses after the fact. It does not, however, remove the construct-dependence described below, and it does not rule out a weaker but real objection: the automated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automated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automated raters, and the record-by-record reproduction result. The operational classification rule and the resulting reference labels are reported so that the classification logic can be examined. The model implementation details and per-pass execution records were not retained in a form sufficient for independent reproduction of the three automated reference passes.</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reference classification,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The 95 percent confidence interval for the panel mean was calculated using a Student t interval across the sixteen reviewer accuracy scores, with reviewers as the independent sampling units.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rPr>
          <w:b/>
        </w:rPr>
        <w:t xml:space="preserve">Item variance is not modelled in the primary analysis, and that is a limitation rather than a choice we defend.</w:t>
      </w:r>
      <w:r>
        <w:t xml:space="preserve"> The participant-level analysis correctly treats each reviewer as the unit of observation and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(Bates et al., 2015; Barr et al., 2013), from which the reviewer and item variance components can be read directly. That analysis is specified in the amended analysis plan and is reported in Appendix C; it was added after the pre-registration and is therefore labelled exploratory throughout. It finds the reviewer component to be the dominant source of variance on this corpus, while the record component is weakly identified and permits a materially larger effect within its profile-likelihood interval.</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pre-specified reference classification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was specified before data collection as a pragmatic performance floor rather than derived from a decision-theoretic model. No validated cost model currently exists for documentation-risk detection, and the threshold should therefore not be interpreted as an established standard of acceptable performance. Building such a model is part of Study 5 in Section 10. The observed estimate and its confidence interval, 72.7 to 95.1, are reported independently of that threshold so that readers can apply their own criterion.</w:t>
      </w:r>
    </w:p>
    <w:p>
      <w:pPr>
        <w:spacing w:after="140"/>
      </w:pPr>
      <w:r>
        <w:rPr>
          <w:b/>
        </w:rPr>
        <w:t xml:space="preserve">Reliability floor (supporting).</w:t>
      </w:r>
      <w:r>
        <w:t xml:space="preserve"> Gwet's AC1 was pre-specified at a minimum of 0.61, with a lower confidence bound of at least 0.41, for the reliability analyses reported by reviewer group in Section 6.5. Both parts were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Participants were informed in advance that the reference classification and the corpus composition would not be disclosed during review, because disclosure would compromise the blinded detection task.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One panel member withdrew consent to be named after data close; her judgments remain in the analysis, unnamed, at her election, and the accuracy figures reported here include them.</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Raters whose codes begin with E are invited experts whose credentials are recorded. The remainder are regular reviewers who entered through the open review page and declared a professional domain without identity verification. The two groups are reported separately because they were recruited by different routes; the split records the recruitment channel and is not a measure of professional expertise. Agreement is assessed with Gwet's AC1 (Gwet, 2008) as the primary chance-corrected coefficient, chosen in advance for robustness to the kappa paradox under skewed marginals (Feinstein and Cicchetti, 1990; Byrt et al., 1993), with Krippendorff's alpha and Fleiss' kappa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regular-reviewer coefficient is 0.623, and pooling the baseline labels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expert judgment is a different question, tested in a separate study with its own participants, recruitment, participant codes, and registration. That study comprises 20 independent experts of the same professional standing as the detection panel, randomised between applying the five conditions and applying a general prompt. They are described as JRS-naive because they had no prior exposure to the method, which is a statement about exposure and not about expertise.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reference classification</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the reference classification, distinguished records constructed to instantiate the operationalised distinction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at least one reviewer had an accuracy below the 50 percent balanced-corpus chance benchmark.</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the distribution reported above, and at the point of use that spread is invisible: an organisation routing a record to a single reviewer cannot assume that the panel-level accuracy estimate represents that reviewer's individual performance.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w:t>
      </w:r>
      <w:r>
        <w:rPr>
          <w:b/>
        </w:rPr>
        <w:t xml:space="preserve">The comparison is descriptive and the gap is not statistically distinguishable from zero in this sample.</w:t>
      </w:r>
      <w:r>
        <w:t xml:space="preserve"> Both numbers come from the same sixteen reviewers, so the correct test is paired, and the paired data were not retained in a form that supports one.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w:t>
      </w:r>
      <w:r>
        <w:rPr>
          <w:b/>
        </w:rPr>
        <w:t xml:space="preserve">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Of the 25 reliability participants, 22 contributed labels under the five-condition instrument and entered the analysed reliability sample: eight invited experts and fourteen regular reviewers. Three regular reviewers contributed only under the unstructured baseline prompt and were excluded because those labels did not assess agreement under the five-condition instrument.</w:t>
      </w:r>
    </w:p>
    <w:p>
      <w:pPr>
        <w:spacing w:after="140"/>
      </w:pPr>
      <w:r>
        <w:t xml:space="preserve">Fifteen records carried at least one label under the five-condition instrument. Because agreement can only be estimated where a record was reviewed by more than one rater, the ten records with two or more raters formed the analysed reliability set. Those ten records carry 113 submitted determinations,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Experts</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Regular reviewers</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0.252 to 0.993</w:t>
            </w:r>
          </w:p>
        </w:tc>
        <w:tc>
          <w:tcPr>
            <w:tcW w:w="1337" w:type="dxa"/>
          </w:tcPr>
          <w:p>
            <w:pPr>
              <w:spacing w:after="0"/>
            </w:pPr>
            <w:r>
              <w:t xml:space="preserve">0.285 to 0.894</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w:t>
      </w:r>
      <w:r>
        <w:rPr>
          <w:b/>
        </w:rPr>
        <w:t xml:space="preserve">Neither clears the second on the analytic interval, which is the interval the analysis plan specified.</w:t>
      </w:r>
      <w:r>
        <w:t xml:space="preserve"> The expert lower bound is 0.402 against a required 0.41; the regular-reviewer lower bound is 0.252.</w:t>
      </w:r>
    </w:p>
    <w:p>
      <w:pPr>
        <w:spacing w:after="140"/>
      </w:pPr>
      <w:r>
        <w:t xml:space="preserve">The bootstrap interval places the expert lower bound at 0.427, above the criterion. </w:t>
      </w:r>
      <w:r>
        <w:rPr>
          <w:b/>
        </w:rPr>
        <w:t xml:space="preserve">We do not treat that as satisfying the pre-registration.</w:t>
      </w:r>
      <w:r>
        <w:t xml:space="preserve">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invited-expert group and that the conclusion is sensitive to interval construction, which is itself a statement about how little the ten-record sample can support.</w:t>
      </w:r>
    </w:p>
    <w:p>
      <w:pPr>
        <w:spacing w:after="140"/>
      </w:pPr>
      <w:r>
        <w:t xml:space="preserve">The correct reading is that </w:t>
      </w:r>
      <w:r>
        <w:rPr>
          <w:b/>
        </w:rPr>
        <w:t xml:space="preserve">the reliability sample is too small to establish reliability.</w:t>
      </w:r>
      <w:r>
        <w:t xml:space="preserve">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(1977).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provides preliminary evidence that the record-level distinction embodied in its review logic is operationally detectable; it is not evidence that JRS itself improves documentation outcomes.</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remains open; the study provides a basis for testing whether record-level reconstructability warrants a distinct measurement layer in AI governance.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reference classification rules out fitting it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may overstate performance against realistic documentation, for the reasons in Section 4.3.</w:t>
      </w:r>
    </w:p>
    <w:p>
      <w:pPr>
        <w:spacing w:after="140"/>
      </w:pPr>
      <w:r>
        <w:rPr>
          <w:b/>
        </w:rPr>
        <w:t xml:space="preserve">8.3 Item variance is not in the primary analysis, and is small.</w:t>
      </w:r>
      <w:r>
        <w:t xml:space="preserve"> The participant-level interval accounts for reviewer variation and not for the possibility that this particular draw of 24 records was easier or harder than another draw would be. That remains formally true. Appendix C now estimates the size of it: the record variance component is at the boundary with a profile interval of 0.001 to 0.556, against a reviewer SD of 1.769 and a latent-scale reviewer intraclass correlation of 0.488. The estimated item component is small relative to reviewer variation on this corpus, but it is weakly identified and the profile-likelihood interval permits a materially larger record effect.</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These results establish detectability by people who review records for a living and who volunteered to do so. Performance by less experienced reviewers, or by reviewers working outside their domain, is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reference classification,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reference classification by raters not involved in corpus construction and who did not see the hypotheses; reviewers blind to that classification,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rPr>
                <w:b/>
              </w:rPr>
              <w:t xml:space="preserve">Reported here.</w:t>
            </w:r>
            <w:r>
              <w:t xml:space="preserv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provides initial evidence for one link in a validation chain: an international panel of sixteen independent experts, reading constructed AI-generated records cold and blind to an independently reproduced reference classification, distinguished the constructed cases at 83.9 percent accuracy, clearing a threshold set before the data were seen. It also establishes substantial variation in accuracy among the sixteen detection-panel experts, while the separate reliability sample did not meet the pre-registered lower-bound criterion.</w:t>
      </w:r>
    </w:p>
    <w:p>
      <w:pPr>
        <w:spacing w:after="140"/>
      </w:pPr>
      <w:r>
        <w:t xml:space="preserve">What the paper does not establish is longer than what it does, and Section 10 lists it. An operationalised property can be detectable before its criterion validity, generalisability, or intervention value has been established. Establishing detectability is what makes those subsequent questions empirically testable, and it is the only thing claimed here.</w:t>
      </w:r>
    </w:p>
    <w:p>
      <w:pPr>
        <w:pStyle w:val="Heading2"/>
        <w:spacing w:after="140"/>
      </w:pPr>
      <w:r>
        <w:t xml:space="preserve">Data availability and pre-registration</w:t>
      </w:r>
    </w:p>
    <w:p>
      <w:pPr>
        <w:spacing w:after="140"/>
      </w:pPr>
      <w:r>
        <w:t xml:space="preserve">The protocol and analysis plan were registered before data collection. Released under the study's data-availability terms: the 24 constructed records; the corpus construction log, including generation model, version, date, prompt, and extent of human editing per record; the full reference classification with the reason and evidentiary defect or support for each record and the JRS conditions implicated; the instructions given to the blind reference raters and their record-by-record reproduction result; coded participant-level response data, released subject to the study's access and confidentiality terms; and the analysis scripts that produce every figure in this paper. Live participation is tracked on an aggregate dashboard showing counts only, never individual answers.</w:t>
      </w:r>
    </w:p>
    <w:p>
      <w:pPr>
        <w:pStyle w:val="Heading2"/>
        <w:spacing w:after="140"/>
      </w:pPr>
      <w:r>
        <w:t xml:space="preserve">References</w:t>
      </w:r>
    </w:p>
    <w:p>
      <w:pPr>
        <w:spacing w:after="14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spacing w:after="14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spacing w:after="140"/>
      </w:pPr>
      <w:r>
        <w:t xml:space="preserve">Barr, D.J., Levy, R., Scheepers, C., Tily, H.J., 2013. Random effects structure for confirmatory hypothesis testing: keep it maximal. </w:t>
      </w:r>
      <w:r>
        <w:rPr>
          <w:i/>
        </w:rPr>
        <w:t xml:space="preserve">Journal of Memory and Language</w:t>
      </w:r>
      <w:r>
        <w:t xml:space="preserve"> 68 (3), 255-278.</w:t>
      </w:r>
    </w:p>
    <w:p>
      <w:pPr>
        <w:spacing w:after="140"/>
      </w:pPr>
      <w:r>
        <w:t xml:space="preserve">Bates, D., Mächler, M., Bolker, B., Walker, S., 2015. Fitting linear mixed-effects models using lme4. </w:t>
      </w:r>
      <w:r>
        <w:rPr>
          <w:i/>
        </w:rPr>
        <w:t xml:space="preserve">Journal of Statistical Software</w:t>
      </w:r>
      <w:r>
        <w:t xml:space="preserve"> 67 (1), 1-48.</w:t>
      </w:r>
    </w:p>
    <w:p>
      <w:pPr>
        <w:spacing w:after="14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spacing w:after="140"/>
      </w:pPr>
      <w:r>
        <w:t xml:space="preserve">Bovens, M., 2007. Analysing and assessing accountability: a conceptual framework. </w:t>
      </w:r>
      <w:r>
        <w:rPr>
          <w:i/>
        </w:rPr>
        <w:t xml:space="preserve">European Law Journal</w:t>
      </w:r>
      <w:r>
        <w:t xml:space="preserve"> 13 (4), 447-468.</w:t>
      </w:r>
    </w:p>
    <w:p>
      <w:pPr>
        <w:spacing w:after="140"/>
      </w:pPr>
      <w:r>
        <w:t xml:space="preserve">Burrell, J., 2016. How the machine 'thinks': understanding opacity in machine learning algorithms. </w:t>
      </w:r>
      <w:r>
        <w:rPr>
          <w:i/>
        </w:rPr>
        <w:t xml:space="preserve">Big Data &amp; Society</w:t>
      </w:r>
      <w:r>
        <w:t xml:space="preserve"> 3 (1), 1-12.</w:t>
      </w:r>
    </w:p>
    <w:p>
      <w:pPr>
        <w:spacing w:after="140"/>
      </w:pPr>
      <w:r>
        <w:t xml:space="preserve">Byrt, T., Bishop, J., Carlin, J.B., 1993. Bias, prevalence and kappa. </w:t>
      </w:r>
      <w:r>
        <w:rPr>
          <w:i/>
        </w:rPr>
        <w:t xml:space="preserve">Journal of Clinical Epidemiology</w:t>
      </w:r>
      <w:r>
        <w:t xml:space="preserve"> 46 (5), 423-429.</w:t>
      </w:r>
    </w:p>
    <w:p>
      <w:pPr>
        <w:spacing w:after="140"/>
      </w:pPr>
      <w:r>
        <w:t xml:space="preserve">Citron, D.K., 2008. Technological due process. </w:t>
      </w:r>
      <w:r>
        <w:rPr>
          <w:i/>
        </w:rPr>
        <w:t xml:space="preserve">Washington University Law Review</w:t>
      </w:r>
      <w:r>
        <w:t xml:space="preserve"> 85 (6), 1249-1313.</w:t>
      </w:r>
    </w:p>
    <w:p>
      <w:pPr>
        <w:spacing w:after="140"/>
      </w:pPr>
      <w:r>
        <w:t xml:space="preserve">Citron, D.K., Pasquale, F., 2014. The scored society: due process for automated predictions. </w:t>
      </w:r>
      <w:r>
        <w:rPr>
          <w:i/>
        </w:rPr>
        <w:t xml:space="preserve">Washington Law Review</w:t>
      </w:r>
      <w:r>
        <w:t xml:space="preserve"> 89 (1), 1-33.</w:t>
      </w:r>
    </w:p>
    <w:p>
      <w:pPr>
        <w:spacing w:after="14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spacing w:after="140"/>
      </w:pPr>
      <w:r>
        <w:t xml:space="preserve">Cohen, J., 1960. A coefficient of agreement for nominal scales. </w:t>
      </w:r>
      <w:r>
        <w:rPr>
          <w:i/>
        </w:rPr>
        <w:t xml:space="preserve">Educational and Psychological Measurement</w:t>
      </w:r>
      <w:r>
        <w:t xml:space="preserve"> 20 (1), 37-46.</w:t>
      </w:r>
    </w:p>
    <w:p>
      <w:pPr>
        <w:spacing w:after="140"/>
      </w:pPr>
      <w:r>
        <w:t xml:space="preserve">Cronbach, L.J., Meehl, P.E., 1955. Construct validity in psychological tests. </w:t>
      </w:r>
      <w:r>
        <w:rPr>
          <w:i/>
        </w:rPr>
        <w:t xml:space="preserve">Psychological Bulletin</w:t>
      </w:r>
      <w:r>
        <w:t xml:space="preserve"> 52 (4), 281-302.</w:t>
      </w:r>
    </w:p>
    <w:p>
      <w:pPr>
        <w:spacing w:after="140"/>
      </w:pPr>
      <w:r>
        <w:t xml:space="preserve">Feinstein, A.R., Cicchetti, D.V., 1990. High agreement but low kappa: I. The problems of two paradoxes. </w:t>
      </w:r>
      <w:r>
        <w:rPr>
          <w:i/>
        </w:rPr>
        <w:t xml:space="preserve">Journal of Clinical Epidemiology</w:t>
      </w:r>
      <w:r>
        <w:t xml:space="preserve"> 43 (6), 543-549.</w:t>
      </w:r>
    </w:p>
    <w:p>
      <w:pPr>
        <w:spacing w:after="140"/>
      </w:pPr>
      <w:r>
        <w:t xml:space="preserve">Fleiss, J.L., 1971. Measuring nominal scale agreement among many raters. </w:t>
      </w:r>
      <w:r>
        <w:rPr>
          <w:i/>
        </w:rPr>
        <w:t xml:space="preserve">Psychological Bulletin</w:t>
      </w:r>
      <w:r>
        <w:t xml:space="preserve"> 76 (5), 378-382.</w:t>
      </w:r>
    </w:p>
    <w:p>
      <w:pPr>
        <w:spacing w:after="140"/>
      </w:pPr>
      <w:r>
        <w:t xml:space="preserve">Gebru, T., Morgenstern, J., Vecchione, B., Vaughan, J.W., Wallach, H., Daumé III, H., Crawford, K., 2021. Datasheets for datasets. </w:t>
      </w:r>
      <w:r>
        <w:rPr>
          <w:i/>
        </w:rPr>
        <w:t xml:space="preserve">Communications of the ACM</w:t>
      </w:r>
      <w:r>
        <w:t xml:space="preserve"> 64 (12), 86-92.</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spacing w:after="140"/>
      </w:pPr>
      <w:r>
        <w:t xml:space="preserve">Gwet, K.L., 2014. </w:t>
      </w:r>
      <w:r>
        <w:rPr>
          <w:i/>
        </w:rPr>
        <w:t xml:space="preserve">Handbook of Inter-Rater Reliability</w:t>
      </w:r>
      <w:r>
        <w:t xml:space="preserve">, fourth ed. Advanced Analytics, Gaithersburg, MD.</w:t>
      </w:r>
    </w:p>
    <w:p>
      <w:pPr>
        <w:spacing w:after="140"/>
      </w:pPr>
      <w:r>
        <w:t xml:space="preserve">ISO/IEC, 2023. </w:t>
      </w:r>
      <w:r>
        <w:rPr>
          <w:i/>
        </w:rPr>
        <w:t xml:space="preserve">ISO/IEC 42001:2023 Information technology - Artificial intelligence - Management system</w:t>
      </w:r>
      <w:r>
        <w:t xml:space="preserve">. International Organization for Standardization, Geneva.</w:t>
      </w:r>
    </w:p>
    <w:p>
      <w:pPr>
        <w:spacing w:after="140"/>
      </w:pPr>
      <w:r>
        <w:t xml:space="preserve">Jacobs, A.Z., Wallach, H., 2021. Measurement and fairness. In: </w:t>
      </w:r>
      <w:r>
        <w:rPr>
          <w:i/>
        </w:rPr>
        <w:t xml:space="preserve">Proceedings of the 2021 ACM Conference on Fairness, Accountability, and Transparency (FAccT '21)</w:t>
      </w:r>
      <w:r>
        <w:t xml:space="preserve">. ACM, pp. 375-385.</w:t>
      </w:r>
    </w:p>
    <w:p>
      <w:pPr>
        <w:spacing w:after="140"/>
      </w:pPr>
      <w:r>
        <w:t xml:space="preserve">Ji, Z., Lee, N., Frieske, R., Yu, T., Su, D., Xu, Y., Ishii, E., Bang, Y.J., Madotto, A., Fung, P., 2023. Survey of hallucination in natural language generation. </w:t>
      </w:r>
      <w:r>
        <w:rPr>
          <w:i/>
        </w:rPr>
        <w:t xml:space="preserve">ACM Computing Surveys</w:t>
      </w:r>
      <w:r>
        <w:t xml:space="preserve"> 55 (12), 1-38.</w:t>
      </w:r>
    </w:p>
    <w:p>
      <w:pPr>
        <w:spacing w:after="140"/>
      </w:pPr>
      <w:r>
        <w:t xml:space="preserve">Kaminski, M.E., Urban, J.M., 2021. The right to contest AI. </w:t>
      </w:r>
      <w:r>
        <w:rPr>
          <w:i/>
        </w:rPr>
        <w:t xml:space="preserve">Columbia Law Review</w:t>
      </w:r>
      <w:r>
        <w:t xml:space="preserve"> 121 (7), 1957-2048.</w:t>
      </w:r>
    </w:p>
    <w:p>
      <w:pPr>
        <w:spacing w:after="140"/>
      </w:pPr>
      <w:r>
        <w:t xml:space="preserve">Krippendorff, K., 2004. </w:t>
      </w:r>
      <w:r>
        <w:rPr>
          <w:i/>
        </w:rPr>
        <w:t xml:space="preserve">Content Analysis: An Introduction to Its Methodology</w:t>
      </w:r>
      <w:r>
        <w:t xml:space="preserve">, second ed. Sage, Thousand Oaks, CA.</w:t>
      </w:r>
    </w:p>
    <w:p>
      <w:pPr>
        <w:spacing w:after="140"/>
      </w:pPr>
      <w:r>
        <w:t xml:space="preserve">Landis, J.R., Koch, G.G., 1977. The measurement of observer agreement for categorical data. </w:t>
      </w:r>
      <w:r>
        <w:rPr>
          <w:i/>
        </w:rPr>
        <w:t xml:space="preserve">Biometrics</w:t>
      </w:r>
      <w:r>
        <w:t xml:space="preserve"> 33 (1), 159-174.</w:t>
      </w:r>
    </w:p>
    <w:p>
      <w:pPr>
        <w:spacing w:after="14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spacing w:after="14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spacing w:after="140"/>
      </w:pPr>
      <w:r>
        <w:t xml:space="preserve">Mittelstadt, B.D., Allo, P., Taddeo, M., Wachter, S., Floridi, L., 2016. The ethics of algorithms: mapping the debate. </w:t>
      </w:r>
      <w:r>
        <w:rPr>
          <w:i/>
        </w:rPr>
        <w:t xml:space="preserve">Big Data &amp; Society</w:t>
      </w:r>
      <w:r>
        <w:t xml:space="preserve"> 3 (2), 1-21.</w:t>
      </w:r>
    </w:p>
    <w:p>
      <w:pPr>
        <w:spacing w:after="140"/>
      </w:pPr>
      <w:r>
        <w:t xml:space="preserve">NIST, 2023. </w:t>
      </w:r>
      <w:r>
        <w:rPr>
          <w:i/>
        </w:rPr>
        <w:t xml:space="preserve">Artificial Intelligence Risk Management Framework (AI RMF 1.0)</w:t>
      </w:r>
      <w:r>
        <w:t xml:space="preserve">, NIST AI 100-1. National Institute of Standards and Technology, Gaithersburg, MD.</w:t>
      </w:r>
    </w:p>
    <w:p>
      <w:pPr>
        <w:spacing w:after="14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spacing w:after="140"/>
      </w:pPr>
      <w:r>
        <w:t xml:space="preserve">Ransohoff, D.F., Feinstein, A.R., 1978. Problems of spectrum and bias in evaluating the efficacy of diagnostic tests. </w:t>
      </w:r>
      <w:r>
        <w:rPr>
          <w:i/>
        </w:rPr>
        <w:t xml:space="preserve">New England Journal of Medicine</w:t>
      </w:r>
      <w:r>
        <w:t xml:space="preserve"> 299 (17), 926-930.</w:t>
      </w:r>
    </w:p>
    <w:p>
      <w:pPr>
        <w:spacing w:after="14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spacing w:after="140"/>
      </w:pPr>
      <w:r>
        <w:t xml:space="preserve">Selbst, A.D., Barocas, S., 2018. The intuitive appeal of explainable machines. </w:t>
      </w:r>
      <w:r>
        <w:rPr>
          <w:i/>
        </w:rPr>
        <w:t xml:space="preserve">Fordham Law Review</w:t>
      </w:r>
      <w:r>
        <w:t xml:space="preserve"> 87 (3), 1085-1139.</w:t>
      </w:r>
    </w:p>
    <w:p>
      <w:pPr>
        <w:spacing w:after="14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spacing w:after="14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spacing w:after="14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w:t>
      </w:r>
      <w:r>
        <w:rPr>
          <w:b/>
        </w:rPr>
        <w:t xml:space="preserve">41 nightly runs</w:t>
      </w:r>
      <w:r>
        <w:t xml:space="preserve">, mean pairwise agreement on the determination was </w:t>
      </w:r>
      <w:r>
        <w:rPr>
          <w:b/>
        </w:rPr>
        <w:t xml:space="preserve">87.2 percent</w:t>
      </w:r>
      <w:r>
        <w:t xml:space="preserve">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rPr>
          <w:b/>
        </w:rP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Appendix B uses the 113 recorded five-condition determinations for descriptive condition-level reporting; the reliability coefficients in Section 6.5 use the deduplicated 104-label set specified by the reliability analysis rule.</w:t>
      </w:r>
    </w:p>
    <w:p>
      <w:pPr>
        <w:spacing w:after="140"/>
      </w:pPr>
      <w:r>
        <w:t xml:space="preserve">Across the 113 overall determinations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(Wilson, 1927),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The condition-level labels vary systematically with the overall determination, as expected because the conditions contribute to that determination. This descriptive association does not establish independent discriminating validity. Across the 565 condition-level labels, evidentiary sufficiency was most often recorded as not passing at 77.9 percent, followed by chronological integrity, decision-process traceability, reconstructability, and basis identification at 65.5, 64.6, 57.5, and 51.3 percent respectively.</w:t>
      </w:r>
    </w:p>
    <w:p>
      <w:pPr>
        <w:spacing w:after="140"/>
      </w:pPr>
      <w:r>
        <w:t xml:space="preserve">The instrument's three levels are all exercised. Across the 565 condition-level labels, the lowest coding level was recorded 216 times, the pass level 207 times, and the middle level 142 times. The lowest level appeared at least once in 77 of the 113 overall determinations. The separations above are therefore across the full scale rather than between the top two levels.</w:t>
      </w:r>
    </w:p>
    <w:p>
      <w:pPr>
        <w:pStyle w:val="Heading2"/>
        <w:spacing w:after="140"/>
      </w:pPr>
      <w:r>
        <w:t xml:space="preserve">Appendix C. Reviewer and item variance</w:t>
      </w:r>
    </w:p>
    <w:p>
      <w:pPr>
        <w:spacing w:after="140"/>
      </w:pPr>
      <w:r>
        <w:rPr>
          <w:b/>
        </w:rPr>
        <w:t xml:space="preserve">Status: exploratory.</w:t>
      </w:r>
      <w:r>
        <w:t xml:space="preserve"> Specified after the pre-registration, in response to peer critique, and labelled exploratory throughout. It does not bear on the pre-registered primary criterion in Section 6.1, which is unchanged.</w:t>
      </w:r>
    </w:p>
    <w:p>
      <w:pPr>
        <w:spacing w:after="140"/>
      </w:pPr>
      <w:r>
        <w:t xml:space="preserve">The primary analysis treats the reviewer as the unit of observation and does not model record difficulty. The crossed analysis adds the records as a second random factor (Bates et al., 2015; Barr et al., 2013):</w:t>
      </w:r>
    </w:p>
    <w:p>
      <w:pPr>
        <w:spacing w:after="140"/>
      </w:pPr>
      <w:r>
        <w:rPr>
          <w:rFonts w:ascii="Consolas" w:hAnsi="Consolas"/>
        </w:rPr>
        <w:t xml:space="preserve">`</w:t>
      </w:r>
    </w:p>
    <w:p>
      <w:pPr>
        <w:spacing w:after="140"/>
      </w:pPr>
      <w:r>
        <w:t xml:space="preserve">correct ~ 1 + (1 | reviewer) + (1 | record)</w:t>
      </w:r>
    </w:p>
    <w:p>
      <w:pPr>
        <w:spacing w:after="140"/>
      </w:pPr>
      <w:r>
        <w:rPr>
          <w:rFonts w:ascii="Consolas" w:hAnsi="Consolas"/>
        </w:rPr>
        <w:t xml:space="preserve">`</w:t>
      </w:r>
    </w:p>
    <w:p>
      <w:pPr>
        <w:spacing w:after="140"/>
      </w:pPr>
      <w:r>
        <w:t xml:space="preserve">Fitted as a mixed-effects logistic model by Laplace-approximated maximum likelihood over all 384 graded reads from 16 reviewers and 24 records, with no participant excluded by the pre-registered rule.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 interval</w:t>
            </w:r>
          </w:p>
        </w:tc>
      </w:tr>
      <w:tr>
        <w:tc>
          <w:tcPr>
            <w:tcW w:w="3120" w:type="dxa"/>
          </w:tcPr>
          <w:p>
            <w:pPr>
              <w:spacing w:after="0"/>
            </w:pPr>
            <w:r>
              <w:t xml:space="preserve">Intercept (logit)</w:t>
            </w:r>
          </w:p>
        </w:tc>
        <w:tc>
          <w:tcPr>
            <w:tcW w:w="3120" w:type="dxa"/>
          </w:tcPr>
          <w:p>
            <w:pPr>
              <w:spacing w:after="0"/>
            </w:pPr>
            <w:r>
              <w:t xml:space="preserve">2.106</w:t>
            </w:r>
          </w:p>
        </w:tc>
        <w:tc>
          <w:tcPr>
            <w:tcW w:w="3120" w:type="dxa"/>
          </w:tcPr>
          <w:p>
            <w:pPr>
              <w:spacing w:after="0"/>
            </w:pPr>
            <w:r>
              <w:t/>
            </w:r>
          </w:p>
        </w:tc>
      </w:tr>
      <w:tr>
        <w:tc>
          <w:tcPr>
            <w:tcW w:w="3120" w:type="dxa"/>
          </w:tcPr>
          <w:p>
            <w:pPr>
              <w:spacing w:after="0"/>
            </w:pPr>
            <w:r>
              <w:t xml:space="preserve">Intercept as a probability, average reviewer on an average record</w:t>
            </w:r>
          </w:p>
        </w:tc>
        <w:tc>
          <w:tcPr>
            <w:tcW w:w="3120" w:type="dxa"/>
          </w:tcPr>
          <w:p>
            <w:pPr>
              <w:spacing w:after="0"/>
            </w:pPr>
            <w:r>
              <w:t xml:space="preserve">89.2%</w:t>
            </w:r>
          </w:p>
        </w:tc>
        <w:tc>
          <w:tcPr>
            <w:tcW w:w="3120" w:type="dxa"/>
          </w:tcPr>
          <w:p>
            <w:pPr>
              <w:spacing w:after="0"/>
            </w:pPr>
            <w:r>
              <w:t/>
            </w:r>
          </w:p>
        </w:tc>
      </w:tr>
      <w:tr>
        <w:tc>
          <w:tcPr>
            <w:tcW w:w="3120" w:type="dxa"/>
          </w:tcPr>
          <w:p>
            <w:pPr>
              <w:spacing w:after="0"/>
            </w:pPr>
            <w:r>
              <w:t xml:space="preserve">Reviewer SD</w:t>
            </w:r>
          </w:p>
        </w:tc>
        <w:tc>
          <w:tcPr>
            <w:tcW w:w="3120" w:type="dxa"/>
          </w:tcPr>
          <w:p>
            <w:pPr>
              <w:spacing w:after="0"/>
            </w:pPr>
            <w:r>
              <w:rPr>
                <w:b/>
              </w:rP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rPr>
                <w:b/>
              </w:rPr>
              <w:t xml:space="preserve">0.011</w:t>
            </w:r>
          </w:p>
        </w:tc>
        <w:tc>
          <w:tcPr>
            <w:tcW w:w="3120" w:type="dxa"/>
          </w:tcPr>
          <w:p>
            <w:pPr>
              <w:spacing w:after="0"/>
            </w:pPr>
            <w:r>
              <w:t xml:space="preserve">0.001 to 0.556</w:t>
            </w:r>
          </w:p>
        </w:tc>
      </w:tr>
      <w:tr>
        <w:tc>
          <w:tcPr>
            <w:tcW w:w="3120" w:type="dxa"/>
          </w:tcPr>
          <w:p>
            <w:pPr>
              <w:spacing w:after="0"/>
            </w:pPr>
            <w:r>
              <w:t xml:space="preserve">Reviewer variance</w:t>
            </w:r>
          </w:p>
        </w:tc>
        <w:tc>
          <w:tcPr>
            <w:tcW w:w="3120" w:type="dxa"/>
          </w:tcPr>
          <w:p>
            <w:pPr>
              <w:spacing w:after="0"/>
            </w:pPr>
            <w:r>
              <w:t xml:space="preserve">3.130</w:t>
            </w:r>
          </w:p>
        </w:tc>
        <w:tc>
          <w:tcPr>
            <w:tcW w:w="3120" w:type="dxa"/>
          </w:tcPr>
          <w:p>
            <w:pPr>
              <w:spacing w:after="0"/>
            </w:pPr>
            <w:r>
              <w:t/>
            </w:r>
          </w:p>
        </w:tc>
      </w:tr>
      <w:tr>
        <w:tc>
          <w:tcPr>
            <w:tcW w:w="3120" w:type="dxa"/>
          </w:tcPr>
          <w:p>
            <w:pPr>
              <w:spacing w:after="0"/>
            </w:pPr>
            <w:r>
              <w:t xml:space="preserve">Record variance</w:t>
            </w:r>
          </w:p>
        </w:tc>
        <w:tc>
          <w:tcPr>
            <w:tcW w:w="3120" w:type="dxa"/>
          </w:tcPr>
          <w:p>
            <w:pPr>
              <w:spacing w:after="0"/>
            </w:pPr>
            <w:r>
              <w:t xml:space="preserve">0.0001</w:t>
            </w:r>
          </w:p>
        </w:tc>
        <w:tc>
          <w:tcPr>
            <w:tcW w:w="3120" w:type="dxa"/>
          </w:tcPr>
          <w:p>
            <w:pPr>
              <w:spacing w:after="0"/>
            </w:pPr>
            <w:r>
              <w:t/>
            </w:r>
          </w:p>
        </w:tc>
      </w:tr>
      <w:tr>
        <w:tc>
          <w:tcPr>
            <w:tcW w:w="3120" w:type="dxa"/>
          </w:tcPr>
          <w:p>
            <w:pPr>
              <w:spacing w:after="0"/>
            </w:pPr>
            <w:r>
              <w:t xml:space="preserve">Intraclass correlation, reviewer</w:t>
            </w:r>
          </w:p>
        </w:tc>
        <w:tc>
          <w:tcPr>
            <w:tcW w:w="3120" w:type="dxa"/>
          </w:tcPr>
          <w:p>
            <w:pPr>
              <w:spacing w:after="0"/>
            </w:pPr>
            <w:r>
              <w:rPr>
                <w:b/>
              </w:rP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pStyle w:val="Heading3"/>
        <w:spacing w:after="140"/>
      </w:pPr>
      <w:r>
        <w:t xml:space="preserve">What this answers</w:t>
      </w:r>
    </w:p>
    <w:p>
      <w:pPr>
        <w:spacing w:after="140"/>
      </w:pPr>
      <w:r>
        <w:t xml:space="preserve">Appendix C was written before the analysis was run, and it named two questions in advance so the result could not be read selectively afterwards. Both now have answers, and they point the same way.</w:t>
      </w:r>
    </w:p>
    <w:p>
      <w:pPr>
        <w:spacing w:after="140"/>
      </w:pPr>
      <w:r>
        <w:rPr>
          <w:b/>
        </w:rPr>
        <w:t xml:space="preserve">Does modelling item difficulty materially alter the panel accuracy estimate?</w:t>
      </w:r>
      <w:r>
        <w:t xml:space="preserve"> No. The intercept places an average reviewer on an average record at 89.2 percent, and the participant-level mean of 83.9 percent reported in Section 6.1 sits inside the reviewer-level spread the model estimates. The exploratory crossed model does not materially alter the estimated reviewer-level performance, and the fitted record component is substantially smaller than the reviewer component on this corpus.</w:t>
      </w:r>
    </w:p>
    <w:p>
      <w:pPr>
        <w:spacing w:after="140"/>
      </w:pPr>
      <w:r>
        <w:rPr>
          <w:b/>
        </w:rPr>
        <w:t xml:space="preserve">How much of the modelled random-effect variation is associated with reviewers rather than records?</w:t>
      </w:r>
      <w:r>
        <w:t xml:space="preserve"> The estimated reviewer component is substantially larger than the record component. On the model's latent logistic scale, the estimated reviewer-level intraclass correlation is </w:t>
      </w:r>
      <w:r>
        <w:rPr>
          <w:b/>
        </w:rPr>
        <w:t xml:space="preserve">0.488</w:t>
      </w:r>
      <w:r>
        <w:t xml:space="preserve">, indicating substantially greater between-reviewer than between-record variation in this dataset. The record-level intraclass correlation is </w:t>
      </w:r>
      <w:r>
        <w:rPr>
          <w:b/>
        </w:rPr>
        <w:t xml:space="preserve">0.0000</w:t>
      </w:r>
      <w:r>
        <w:t xml:space="preserve">.</w:t>
      </w:r>
    </w:p>
    <w:p>
      <w:pPr>
        <w:spacing w:after="140"/>
      </w:pPr>
      <w:r>
        <w:t xml:space="preserve">The raw tables say the same thing without any model. Record-level accuracy ranged from 62.5 to 93.8 percent, whereas reviewer-level accuracy ranged from 37.5 to 100 percent. Every record was classified correctly by at least ten of the sixteen reviewers.</w:t>
      </w:r>
    </w:p>
    <w:p>
      <w:pPr>
        <w:pStyle w:val="Heading3"/>
        <w:spacing w:after="140"/>
      </w:pPr>
      <w:r>
        <w:t xml:space="preserve">The record component is estimated at the boundary and must not be interpreted as zero.</w:t>
      </w:r>
    </w:p>
    <w:p>
      <w:pPr>
        <w:spacing w:after="140"/>
      </w:pPr>
      <w:r>
        <w:t xml:space="preserve">The record SD is estimated at 0.011, which is on the boundary. </w:t>
      </w:r>
      <w:r>
        <w:rPr>
          <w:b/>
        </w:rPr>
        <w:t xml:space="preserve">That is not evidence that record difficulty does not exist.</w:t>
      </w:r>
      <w:r>
        <w:t xml:space="preserve"> At sixteen reviewers by twenty-four records the record component is weakly identified. The profile-likelihood interval, </w:t>
      </w:r>
      <w:r>
        <w:rPr>
          <w:b/>
        </w:rPr>
        <w:t xml:space="preserve">0.001 to 0.556</w:t>
      </w:r>
      <w:r>
        <w:t xml:space="preserve">, is the informative quantity and it does not exclude a moderate record effect.</w:t>
      </w:r>
    </w:p>
    <w:p>
      <w:pPr>
        <w:spacing w:after="140"/>
      </w:pPr>
      <w:r>
        <w:t xml:space="preserve">The defensible statement is therefore narrow: on this corpus, the estimated item component is small relative to reviewer variation, but it is weakly identified and the profile-likelihood interval permits a materially larger record effect.</w:t>
      </w:r>
    </w:p>
    <w:p>
      <w:pPr>
        <w:pStyle w:val="Heading3"/>
        <w:spacing w:after="140"/>
      </w:pPr>
      <w:r>
        <w:t xml:space="preserve">Consequence for Section 8.3</w:t>
      </w:r>
    </w:p>
    <w:p>
      <w:pPr>
        <w:spacing w:after="140"/>
      </w:pPr>
      <w:r>
        <w:rPr>
          <w:b/>
        </w:rPr>
        <w:t xml:space="preserve">Section 8.3 states this limitation more strongly than the data now supports, and the correction runs in the paper's favour.</w:t>
      </w:r>
      <w:r>
        <w:t xml:space="preserve"> That section warns that the participant-level interval does not account for the possibility that this draw of 24 records was easier or harder than another draw would be. That remains formally true. The estimated reviewer variance is substantially larger than the estimated record variance on this corpus.</w:t>
      </w:r>
    </w:p>
    <w:p>
      <w:pPr>
        <w:spacing w:after="140"/>
      </w:pPr>
      <w:r>
        <w:rPr>
          <w:b/>
        </w:rPr>
        <w:t xml:space="preserve">Section 6.3 is strengthened.</w:t>
      </w:r>
      <w:r>
        <w:t xml:space="preserve"> Reviewer heterogeneity was reported there as the operationally important result on the strength of the raw spread alone. The model puts a number on it: it is the largest identified source of variance in the study.</w:t>
      </w:r>
    </w:p>
    <w:p>
      <w:pPr>
        <w:pStyle w:val="Heading3"/>
        <w:spacing w:after="140"/>
      </w:pPr>
      <w:r>
        <w:t xml:space="preserve">Item-level accuracy, hardest first</w:t>
      </w:r>
    </w:p>
    <w:p>
      <w:pPr>
        <w:spacing w:after="140"/>
      </w:pPr>
      <w:r>
        <w:t xml:space="preserve">Records are constructed and de-identified, and their identifiers carry no information about a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Record</w:t>
            </w:r>
          </w:p>
        </w:tc>
        <w:tc>
          <w:tcPr>
            <w:tcW w:w="3120" w:type="dxa"/>
          </w:tcPr>
          <w:p>
            <w:pPr>
              <w:spacing w:after="0"/>
            </w:pPr>
            <w:r>
              <w:t xml:space="preserve">Correct</w:t>
            </w:r>
          </w:p>
        </w:tc>
        <w:tc>
          <w:tcPr>
            <w:tcW w:w="3120" w:type="dxa"/>
          </w:tcPr>
          <w:p>
            <w:pPr>
              <w:spacing w:after="0"/>
            </w:pPr>
            <w:r>
              <w:t xml:space="preserve">Accuracy</w:t>
            </w:r>
          </w:p>
        </w:tc>
      </w:tr>
      <w:tr>
        <w:tc>
          <w:tcPr>
            <w:tcW w:w="3120" w:type="dxa"/>
          </w:tcPr>
          <w:p>
            <w:pPr>
              <w:spacing w:after="0"/>
            </w:pPr>
            <w:r>
              <w:t xml:space="preserve">R04</w:t>
            </w:r>
          </w:p>
        </w:tc>
        <w:tc>
          <w:tcPr>
            <w:tcW w:w="3120" w:type="dxa"/>
          </w:tcPr>
          <w:p>
            <w:pPr>
              <w:spacing w:after="0"/>
            </w:pPr>
            <w:r>
              <w:t xml:space="preserve">10 of 16</w:t>
            </w:r>
          </w:p>
        </w:tc>
        <w:tc>
          <w:tcPr>
            <w:tcW w:w="3120" w:type="dxa"/>
          </w:tcPr>
          <w:p>
            <w:pPr>
              <w:spacing w:after="0"/>
            </w:pPr>
            <w:r>
              <w:t xml:space="preserve">62.5%</w:t>
            </w:r>
          </w:p>
        </w:tc>
      </w:tr>
      <w:tr>
        <w:tc>
          <w:tcPr>
            <w:tcW w:w="3120" w:type="dxa"/>
          </w:tcPr>
          <w:p>
            <w:pPr>
              <w:spacing w:after="0"/>
            </w:pPr>
            <w:r>
              <w:t xml:space="preserve">R01</w:t>
            </w:r>
          </w:p>
        </w:tc>
        <w:tc>
          <w:tcPr>
            <w:tcW w:w="3120" w:type="dxa"/>
          </w:tcPr>
          <w:p>
            <w:pPr>
              <w:spacing w:after="0"/>
            </w:pPr>
            <w:r>
              <w:t xml:space="preserve">11 of 16</w:t>
            </w:r>
          </w:p>
        </w:tc>
        <w:tc>
          <w:tcPr>
            <w:tcW w:w="3120" w:type="dxa"/>
          </w:tcPr>
          <w:p>
            <w:pPr>
              <w:spacing w:after="0"/>
            </w:pPr>
            <w:r>
              <w:t xml:space="preserve">68.8%</w:t>
            </w:r>
          </w:p>
        </w:tc>
      </w:tr>
      <w:tr>
        <w:tc>
          <w:tcPr>
            <w:tcW w:w="3120" w:type="dxa"/>
          </w:tcPr>
          <w:p>
            <w:pPr>
              <w:spacing w:after="0"/>
            </w:pPr>
            <w:r>
              <w:t xml:space="preserve">R10</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R15</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R17</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R06</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R11</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R12</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R18</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R20</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R07</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R16</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R19</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R21</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R02</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R03</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R05</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R08</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R09</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R22</w:t>
            </w:r>
          </w:p>
        </w:tc>
        <w:tc>
          <w:tcPr>
            <w:tcW w:w="3120" w:type="dxa"/>
          </w:tcPr>
          <w:p>
            <w:pPr>
              <w:spacing w:after="0"/>
            </w:pPr>
            <w:r>
              <w:t xml:space="preserve">15 of 16</w:t>
            </w:r>
          </w:p>
        </w:tc>
        <w:tc>
          <w:tcPr>
            <w:tcW w:w="3120" w:type="dxa"/>
          </w:tcPr>
          <w:p>
            <w:pPr>
              <w:spacing w:after="0"/>
            </w:pPr>
            <w:r>
              <w:t xml:space="preserve">93.8%</w:t>
            </w:r>
          </w:p>
        </w:tc>
      </w:tr>
    </w:tbl>
    <w:p>
      <w:pPr/>
      <w:r>
        <w:t/>
      </w:r>
    </w:p>
    <w:p>
      <w:pPr>
        <w:spacing w:after="140"/>
      </w:pPr>
      <w:r>
        <w:rPr>
          <w:b/>
        </w:rPr>
        <w:t xml:space="preserve">The grounded and unsupported classification of each record is deliberately not printed beside these rates.</w:t>
      </w:r>
      <w:r>
        <w:t xml:space="preserve"> Publishing accuracy next to the class would publish the reference classification, which the data-availability terms release on request under the study's conditions rather than in the body of a paper.</w:t>
      </w:r>
    </w:p>
    <w:p>
      <w:pPr>
        <w:pStyle w:val="Heading3"/>
        <w:spacing w:after="140"/>
      </w:pPr>
      <w:r>
        <w:t xml:space="preserve">Reviewer-level accuracy is reported as a distribution, not a table</w:t>
      </w:r>
    </w:p>
    <w:p>
      <w:pPr>
        <w:spacing w:after="140"/>
      </w:pPr>
      <w:r>
        <w:t xml:space="preserve">Section 6.2 gives the mean, standard deviation, range and perfect-scorer count. A per-reviewer table keyed to study codes is not printed here and will not be, because the contributor roster maps those codes to named people who volunteered unpaid. Publishing a code-labelled ranking would identify the lowest-scoring named professional in the panel, which is not a result and was never a condition of their participation.</w:t>
      </w:r>
    </w:p>
    <w:p>
      <w:pPr>
        <w:pStyle w:val="Heading3"/>
        <w:spacing w:after="140"/>
      </w:pPr>
      <w:r>
        <w:t xml:space="preserve">Reproducibility</w:t>
      </w:r>
    </w:p>
    <w:p>
      <w:pPr>
        <w:spacing w:after="140"/>
      </w:pPr>
      <w:r>
        <w:t xml:space="preserve">Every figure in this appendix is generated from the per-read analysis dataset using the archived analysis implementation, which returns aggregate results without exposing individual reviewer responses. The estimator was validated by simulation against known variance components before use, and its JavaScript implementation was checked for numeric parity against an independent Python implementation on identical data, agreeing to four decimal places. The endpoint reproduces the Section 6.1 participant-level mean of 83.9 percent and the six perfect scorers exactly, from the raw reads, which is an independent check on the primary analysis.</w:t>
      </w:r>
    </w:p>
    <w:p>
      <w:pPr>
        <w:pStyle w:val="Heading2"/>
        <w:spacing w:after="140"/>
      </w:pPr>
      <w:r>
        <w:t xml:space="preserve">Acknowledgments</w:t>
      </w:r>
    </w:p>
    <w:p>
      <w:pPr>
        <w:spacing w:after="140"/>
      </w:pPr>
      <w:r>
        <w:rPr>
          <w:b/>
        </w:rPr>
        <w:t xml:space="preserve">The detection panel, 16 independent experts across 11 countries and 5 continents</w:t>
      </w:r>
      <w:r>
        <w:t xml:space="preserve">, each read the full 24-record corpus cold, blind to the reference classification, and returned 384 graded judgments. This paper's result is theirs. </w:t>
      </w:r>
      <w:r>
        <w:rPr>
          <w:b/>
        </w:rPr>
        <w:t xml:space="preserve">The reliability study, 25 raters</w:t>
      </w:r>
      <w:r>
        <w:t xml:space="preserve">, eight invited experts and seventeen regular reviewers, recorded labels on the shared record set. Twenty-two of them, eight experts and fourteen regular reviewers, worked under the five-condition instrument and are the analysed sample behind the coefficients in Section 6.5; the other three regular reviewers worked under the unstructured baseline prompt and their labels are excluded from those coefficients by the inclusion rule stated in that section. All 25 are credited here because all 25 did the work. Appendix B exists only because the five-condition raters recorded a judgment on each of the five conditions separately rather than only the overall read. </w:t>
      </w:r>
      <w:r>
        <w:rPr>
          <w:b/>
        </w:rPr>
        <w:t xml:space="preserve">The comparison study, 20 independent experts</w:t>
      </w:r>
      <w:r>
        <w:t xml:space="preserve">, completed the same corpus under the design described in Section 5 without knowing what the comparison was testing; their work is reported in its own paper.</w:t>
      </w:r>
    </w:p>
    <w:p>
      <w:pPr>
        <w:spacing w:after="140"/>
      </w:pPr>
      <w:r>
        <w:t xml:space="preserve">Those three groups comprise 61 participations held by </w:t>
      </w:r>
      <w:r>
        <w:rPr>
          <w:b/>
        </w:rPr>
        <w:t xml:space="preserve">58 distinct people</w:t>
      </w:r>
      <w:r>
        <w:t xml:space="preserve">: three of the reliability raters are the same individuals as three members of the detection panel, each holding a separate code in each study. All 58 worked unpaid, in a personal capacity, with nothing at stake in the outcome. Programme-level participation figures are recorded in the study repository rather than here, because they are acknowledgment and not results: the detection finding in Section 6 rests on the sixteen panel members and their 384 graded reads and on nothing else.</w:t>
      </w:r>
    </w:p>
    <w:p>
      <w:pPr>
        <w:spacing w:after="140"/>
      </w:pPr>
      <w:r>
        <w:t xml:space="preserve">Reviewers are recognised as named contributors with their consent; none is a co-author of this paper. Contributors may withdraw their name at any time; one has, and her judgments remain in the analysis unnamed at her election.</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