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submission-final v2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research/Detection_Article_Submission_Final_2026-08-18.md</w:t>
      </w:r>
      <w:r>
        <w:t xml:space="preserve"> (preserved, not overwritten)</w:t>
      </w:r>
    </w:p>
    <w:p>
      <w:pPr>
        <w:spacing w:after="140"/>
      </w:pPr>
      <w:r>
        <w:rPr>
          <w:b/>
        </w:rPr>
        <w:t xml:space="preserve">Output:</w:t>
      </w:r>
      <w:r>
        <w:t xml:space="preserve"> </w:t>
      </w:r>
      <w:r>
        <w:rPr>
          <w:rFonts w:ascii="Consolas" w:hAnsi="Consolas"/>
        </w:rPr>
        <w:t xml:space="preserve">research/Detection_Article_Submission_Final_v2_2026-08-18.md</w:t>
      </w:r>
    </w:p>
    <w:p>
      <w:pPr>
        <w:spacing w:after="140"/>
      </w:pPr>
      <w:r>
        <w:rPr>
          <w:b/>
        </w:rPr>
        <w:t xml:space="preserve">Script:</w:t>
      </w:r>
      <w:r>
        <w:t xml:space="preserve"> </w:t>
      </w:r>
      <w:r>
        <w:rPr>
          <w:rFonts w:ascii="Consolas" w:hAnsi="Consolas"/>
        </w:rPr>
        <w:t xml:space="preserve">scripts/apply_submission_final_v2.py</w:t>
      </w:r>
    </w:p>
    <w:p>
      <w:pPr>
        <w:spacing w:after="140"/>
      </w:pPr>
      <w:r>
        <w:t xml:space="preserve">Fifteen instructed corrections. Five change text; ten are preservation constraints compiled into 45 assertions that fail the run if what they protect has moved. Every change is categorised; there is no "general improvement" category.</w:t>
      </w:r>
    </w:p>
    <w:p>
      <w:pPr>
        <w:pBdr>
          <w:bottom w:val="single" w:sz="6" w:space="1" w:color="AAAAAA"/>
        </w:pBdr>
      </w:pPr>
    </w:p>
    <w:p>
      <w:pPr>
        <w:pStyle w:val="Heading2"/>
        <w:spacing w:after="140"/>
      </w:pPr>
      <w:r>
        <w:t xml:space="preserve">1. Participant accounting audit, Correction 1</w:t>
      </w:r>
    </w:p>
    <w:p>
      <w:pPr>
        <w:pStyle w:val="Heading3"/>
        <w:spacing w:after="140"/>
      </w:pPr>
      <w:r>
        <w:t xml:space="preserve">The answer: 58 is correct. It was not changed to 61.</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Study component</w:t>
            </w:r>
          </w:p>
        </w:tc>
        <w:tc>
          <w:tcPr>
            <w:tcW w:w="1872" w:type="dxa"/>
          </w:tcPr>
          <w:p>
            <w:pPr>
              <w:spacing w:after="0"/>
            </w:pPr>
            <w:r>
              <w:t xml:space="preserve">Participation count</w:t>
            </w:r>
          </w:p>
        </w:tc>
        <w:tc>
          <w:tcPr>
            <w:tcW w:w="1872" w:type="dxa"/>
          </w:tcPr>
          <w:p>
            <w:pPr>
              <w:spacing w:after="0"/>
            </w:pPr>
            <w:r>
              <w:t xml:space="preserve">Unique individuals</w:t>
            </w:r>
          </w:p>
        </w:tc>
        <w:tc>
          <w:tcPr>
            <w:tcW w:w="1872" w:type="dxa"/>
          </w:tcPr>
          <w:p>
            <w:pPr>
              <w:spacing w:after="0"/>
            </w:pPr>
            <w:r>
              <w:t xml:space="preserve">Overlap with other components</w:t>
            </w:r>
          </w:p>
        </w:tc>
        <w:tc>
          <w:tcPr>
            <w:tcW w:w="1872" w:type="dxa"/>
          </w:tcPr>
          <w:p>
            <w:pPr>
              <w:spacing w:after="0"/>
            </w:pPr>
            <w:r>
              <w:t xml:space="preserve">Source</w:t>
            </w:r>
          </w:p>
        </w:tc>
      </w:tr>
      <w:tr>
        <w:tc>
          <w:tcPr>
            <w:tcW w:w="1872" w:type="dxa"/>
          </w:tcPr>
          <w:p>
            <w:pPr>
              <w:spacing w:after="0"/>
            </w:pPr>
            <w:r>
              <w:t xml:space="preserve">Study 011 / Arm A</w:t>
            </w:r>
          </w:p>
        </w:tc>
        <w:tc>
          <w:tcPr>
            <w:tcW w:w="1872" w:type="dxa"/>
          </w:tcPr>
          <w:p>
            <w:pPr>
              <w:spacing w:after="0"/>
            </w:pPr>
            <w:r>
              <w:t xml:space="preserve">16</w:t>
            </w:r>
          </w:p>
        </w:tc>
        <w:tc>
          <w:tcPr>
            <w:tcW w:w="1872" w:type="dxa"/>
          </w:tcPr>
          <w:p>
            <w:pPr>
              <w:spacing w:after="0"/>
            </w:pPr>
            <w:r>
              <w:t xml:space="preserve">16</w:t>
            </w:r>
          </w:p>
        </w:tc>
        <w:tc>
          <w:tcPr>
            <w:tcW w:w="1872" w:type="dxa"/>
          </w:tcPr>
          <w:p>
            <w:pPr>
              <w:spacing w:after="0"/>
            </w:pPr>
            <w:r>
              <w:t xml:space="preserve">3 of these people also hold a Study 004 expert-rater code</w:t>
            </w:r>
          </w:p>
        </w:tc>
        <w:tc>
          <w:tcPr>
            <w:tcW w:w="1872" w:type="dxa"/>
          </w:tcPr>
          <w:p>
            <w:pPr>
              <w:spacing w:after="0"/>
            </w:pPr>
            <w:r>
              <w:t xml:space="preserve">live </w:t>
            </w:r>
            <w:r>
              <w:rPr>
                <w:rFonts w:ascii="Consolas" w:hAnsi="Consolas"/>
              </w:rPr>
              <w:t xml:space="preserve">pilot_progress</w:t>
            </w:r>
            <w:r>
              <w:t xml:space="preserve"> 2026-08-18, 27 registered / 16 at 24 reads; </w:t>
            </w:r>
            <w:r>
              <w:rPr>
                <w:rFonts w:ascii="Consolas" w:hAnsi="Consolas"/>
              </w:rPr>
              <w:t xml:space="preserve">research/Expert_Roster_All_Studies_2026-08-06.md</w:t>
            </w:r>
            <w:r>
              <w:t xml:space="preserve"> Study 011</w:t>
            </w:r>
          </w:p>
        </w:tc>
      </w:tr>
      <w:tr>
        <w:tc>
          <w:tcPr>
            <w:tcW w:w="1872" w:type="dxa"/>
          </w:tcPr>
          <w:p>
            <w:pPr>
              <w:spacing w:after="0"/>
            </w:pPr>
            <w:r>
              <w:t xml:space="preserve">Study 004 reliability</w:t>
            </w:r>
          </w:p>
        </w:tc>
        <w:tc>
          <w:tcPr>
            <w:tcW w:w="1872" w:type="dxa"/>
          </w:tcPr>
          <w:p>
            <w:pPr>
              <w:spacing w:after="0"/>
            </w:pPr>
            <w:r>
              <w:t xml:space="preserve">25</w:t>
            </w:r>
          </w:p>
        </w:tc>
        <w:tc>
          <w:tcPr>
            <w:tcW w:w="1872" w:type="dxa"/>
          </w:tcPr>
          <w:p>
            <w:pPr>
              <w:spacing w:after="0"/>
            </w:pPr>
            <w:r>
              <w:t xml:space="preserve">22 new</w:t>
            </w:r>
          </w:p>
        </w:tc>
        <w:tc>
          <w:tcPr>
            <w:tcW w:w="1872" w:type="dxa"/>
          </w:tcPr>
          <w:p>
            <w:pPr>
              <w:spacing w:after="0"/>
            </w:pPr>
            <w:r>
              <w:t xml:space="preserve">3 are the same people as Arm A completers</w:t>
            </w:r>
          </w:p>
        </w:tc>
        <w:tc>
          <w:tcPr>
            <w:tcW w:w="1872" w:type="dxa"/>
          </w:tcPr>
          <w:p>
            <w:pPr>
              <w:spacing w:after="0"/>
            </w:pPr>
            <w:r>
              <w:t xml:space="preserve">live </w:t>
            </w:r>
            <w:r>
              <w:rPr>
                <w:rFonts w:ascii="Consolas" w:hAnsi="Consolas"/>
              </w:rPr>
              <w:t xml:space="preserve">bench_labels</w:t>
            </w:r>
            <w:r>
              <w:t xml:space="preserve"> 2026-08-18, 25 rater codes; </w:t>
            </w:r>
            <w:r>
              <w:rPr>
                <w:rFonts w:ascii="Consolas" w:hAnsi="Consolas"/>
              </w:rPr>
              <w:t xml:space="preserve">research/build_expert_roster.py:121</w:t>
            </w:r>
          </w:p>
        </w:tc>
      </w:tr>
      <w:tr>
        <w:tc>
          <w:tcPr>
            <w:tcW w:w="1872" w:type="dxa"/>
          </w:tcPr>
          <w:p>
            <w:pPr>
              <w:spacing w:after="0"/>
            </w:pPr>
            <w:r>
              <w:t xml:space="preserve">Study 012 / Arm B</w:t>
            </w:r>
          </w:p>
        </w:tc>
        <w:tc>
          <w:tcPr>
            <w:tcW w:w="1872" w:type="dxa"/>
          </w:tcPr>
          <w:p>
            <w:pPr>
              <w:spacing w:after="0"/>
            </w:pPr>
            <w:r>
              <w:t xml:space="preserve">20</w:t>
            </w:r>
          </w:p>
        </w:tc>
        <w:tc>
          <w:tcPr>
            <w:tcW w:w="1872" w:type="dxa"/>
          </w:tcPr>
          <w:p>
            <w:pPr>
              <w:spacing w:after="0"/>
            </w:pPr>
            <w:r>
              <w:t xml:space="preserve">20</w:t>
            </w:r>
          </w:p>
        </w:tc>
        <w:tc>
          <w:tcPr>
            <w:tcW w:w="1872" w:type="dxa"/>
          </w:tcPr>
          <w:p>
            <w:pPr>
              <w:spacing w:after="0"/>
            </w:pPr>
            <w:r>
              <w:rPr>
                <w:b/>
              </w:rPr>
              <w:t xml:space="preserve">none</w:t>
            </w:r>
            <w:r>
              <w:t xml:space="preserve">, verified disjoint from Arm A</w:t>
            </w:r>
          </w:p>
        </w:tc>
        <w:tc>
          <w:tcPr>
            <w:tcW w:w="1872" w:type="dxa"/>
          </w:tcPr>
          <w:p>
            <w:pPr>
              <w:spacing w:after="0"/>
            </w:pPr>
            <w:r>
              <w:t xml:space="preserve">live </w:t>
            </w:r>
            <w:r>
              <w:rPr>
                <w:rFonts w:ascii="Consolas" w:hAnsi="Consolas"/>
              </w:rPr>
              <w:t xml:space="preserve">armb_progress</w:t>
            </w:r>
            <w:r>
              <w:t xml:space="preserve"> 2026-08-18, 21 registered / 20 at 24 reads; </w:t>
            </w:r>
            <w:r>
              <w:rPr>
                <w:rFonts w:ascii="Consolas" w:hAnsi="Consolas"/>
              </w:rPr>
              <w:t xml:space="preserve">research/Expert_Roster_All_Studies_2026-08-06.md</w:t>
            </w:r>
            <w:r>
              <w:t xml:space="preserve"> Study 012</w:t>
            </w:r>
          </w:p>
        </w:tc>
      </w:tr>
      <w:tr>
        <w:tc>
          <w:tcPr>
            <w:tcW w:w="1872" w:type="dxa"/>
          </w:tcPr>
          <w:p>
            <w:pPr>
              <w:spacing w:after="0"/>
            </w:pPr>
            <w:r>
              <w:rPr>
                <w:b/>
              </w:rPr>
              <w:t xml:space="preserve">Combined</w:t>
            </w:r>
          </w:p>
        </w:tc>
        <w:tc>
          <w:tcPr>
            <w:tcW w:w="1872" w:type="dxa"/>
          </w:tcPr>
          <w:p>
            <w:pPr>
              <w:spacing w:after="0"/>
            </w:pPr>
            <w:r>
              <w:rPr>
                <w:b/>
              </w:rPr>
              <w:t xml:space="preserve">61</w:t>
            </w:r>
          </w:p>
        </w:tc>
        <w:tc>
          <w:tcPr>
            <w:tcW w:w="1872" w:type="dxa"/>
          </w:tcPr>
          <w:p>
            <w:pPr>
              <w:spacing w:after="0"/>
            </w:pPr>
            <w:r>
              <w:rPr>
                <w:b/>
              </w:rPr>
              <w:t xml:space="preserve">58</w:t>
            </w:r>
          </w:p>
        </w:tc>
        <w:tc>
          <w:tcPr>
            <w:tcW w:w="1872" w:type="dxa"/>
          </w:tcPr>
          <w:p>
            <w:pPr>
              <w:spacing w:after="0"/>
            </w:pPr>
            <w:r>
              <w:t xml:space="preserve">3 participations held by people already counted</w:t>
            </w:r>
          </w:p>
        </w:tc>
        <w:tc>
          <w:tcPr>
            <w:tcW w:w="1872" w:type="dxa"/>
          </w:tcPr>
          <w:p>
            <w:pPr>
              <w:spacing w:after="0"/>
            </w:pPr>
            <w:r>
              <w:t xml:space="preserve">arithmetic below</w:t>
            </w:r>
          </w:p>
        </w:tc>
      </w:tr>
    </w:tbl>
    <w:p>
      <w:pPr/>
      <w:r>
        <w:t/>
      </w:r>
    </w:p>
    <w:p>
      <w:pPr>
        <w:pStyle w:val="Heading3"/>
        <w:spacing w:after="140"/>
      </w:pPr>
      <w:r>
        <w:t xml:space="preserve">The overlap, named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Study 004 code</w:t>
            </w:r>
          </w:p>
        </w:tc>
        <w:tc>
          <w:tcPr>
            <w:tcW w:w="4680" w:type="dxa"/>
          </w:tcPr>
          <w:p>
            <w:pPr>
              <w:spacing w:after="0"/>
            </w:pPr>
            <w:r>
              <w:t xml:space="preserve">Same person in Arm A</w:t>
            </w:r>
          </w:p>
        </w:tc>
      </w:tr>
      <w:tr>
        <w:tc>
          <w:tcPr>
            <w:tcW w:w="4680" w:type="dxa"/>
          </w:tcPr>
          <w:p>
            <w:pPr>
              <w:spacing w:after="0"/>
            </w:pPr>
            <w:r>
              <w:rPr>
                <w:rFonts w:ascii="Consolas" w:hAnsi="Consolas"/>
              </w:rPr>
              <w:t xml:space="preserve">E-09</w:t>
            </w:r>
          </w:p>
        </w:tc>
        <w:tc>
          <w:tcPr>
            <w:tcW w:w="4680" w:type="dxa"/>
          </w:tcPr>
          <w:p>
            <w:pPr>
              <w:spacing w:after="0"/>
            </w:pPr>
            <w:r>
              <w:rPr>
                <w:rFonts w:ascii="Consolas" w:hAnsi="Consolas"/>
              </w:rPr>
              <w:t xml:space="preserve">V-AI-06</w:t>
            </w:r>
          </w:p>
        </w:tc>
      </w:tr>
      <w:tr>
        <w:tc>
          <w:tcPr>
            <w:tcW w:w="4680" w:type="dxa"/>
          </w:tcPr>
          <w:p>
            <w:pPr>
              <w:spacing w:after="0"/>
            </w:pPr>
            <w:r>
              <w:rPr>
                <w:rFonts w:ascii="Consolas" w:hAnsi="Consolas"/>
              </w:rPr>
              <w:t xml:space="preserve">E-12</w:t>
            </w:r>
          </w:p>
        </w:tc>
        <w:tc>
          <w:tcPr>
            <w:tcW w:w="4680" w:type="dxa"/>
          </w:tcPr>
          <w:p>
            <w:pPr>
              <w:spacing w:after="0"/>
            </w:pPr>
            <w:r>
              <w:rPr>
                <w:rFonts w:ascii="Consolas" w:hAnsi="Consolas"/>
              </w:rPr>
              <w:t xml:space="preserve">V-AI-07</w:t>
            </w:r>
          </w:p>
        </w:tc>
      </w:tr>
      <w:tr>
        <w:tc>
          <w:tcPr>
            <w:tcW w:w="4680" w:type="dxa"/>
          </w:tcPr>
          <w:p>
            <w:pPr>
              <w:spacing w:after="0"/>
            </w:pPr>
            <w:r>
              <w:rPr>
                <w:rFonts w:ascii="Consolas" w:hAnsi="Consolas"/>
              </w:rPr>
              <w:t xml:space="preserve">E-13</w:t>
            </w:r>
          </w:p>
        </w:tc>
        <w:tc>
          <w:tcPr>
            <w:tcW w:w="4680" w:type="dxa"/>
          </w:tcPr>
          <w:p>
            <w:pPr>
              <w:spacing w:after="0"/>
            </w:pPr>
            <w:r>
              <w:rPr>
                <w:rFonts w:ascii="Consolas" w:hAnsi="Consolas"/>
              </w:rPr>
              <w:t xml:space="preserve">V-AI-03</w:t>
            </w:r>
          </w:p>
        </w:tc>
      </w:tr>
    </w:tbl>
    <w:p>
      <w:pPr/>
      <w:r>
        <w:t/>
      </w:r>
    </w:p>
    <w:p>
      <w:pPr>
        <w:spacing w:after="140"/>
      </w:pPr>
      <w:r>
        <w:t xml:space="preserve">Source: </w:t>
      </w:r>
      <w:r>
        <w:rPr>
          <w:rFonts w:ascii="Consolas" w:hAnsi="Consolas"/>
        </w:rPr>
        <w:t xml:space="preserve">research/build_expert_roster.py:121</w:t>
      </w:r>
      <w:r>
        <w:t xml:space="preserve">, </w:t>
      </w:r>
      <w:r>
        <w:rPr>
          <w:rFonts w:ascii="Consolas" w:hAnsi="Consolas"/>
        </w:rPr>
        <w:t xml:space="preserve">CROSS_STUDY_SAME_PERSON</w:t>
      </w:r>
      <w:r>
        <w:t xml:space="preserve">, corroborated at </w:t>
      </w:r>
      <w:r>
        <w:rPr>
          <w:rFonts w:ascii="Consolas" w:hAnsi="Consolas"/>
        </w:rPr>
        <w:t xml:space="preserve">research/Expert_Roster_All_Studies_2026-08-06.md:73</w:t>
      </w:r>
      <w:r>
        <w:t xml:space="preserve">. The map is parsed at run time; the count is not typed into this script.</w:t>
      </w:r>
    </w:p>
    <w:p>
      <w:pPr>
        <w:spacing w:after="140"/>
      </w:pPr>
      <w:r>
        <w:rPr>
          <w:b/>
        </w:rPr>
        <w:t xml:space="preserve">Arm A and Arm B are disjoint.</w:t>
      </w:r>
      <w:r>
        <w:t xml:space="preserve"> Every named V-AI and RR row in the roster was cross-tabulated by personal name at run time and no name holds both a detection-panel code and a comparison-study code. The protocol specifies this by design: </w:t>
      </w:r>
      <w:r>
        <w:rPr>
          <w:i/>
        </w:rPr>
        <w:t xml:space="preserve">"A fresh pool of participants of comparable background"</w:t>
      </w:r>
      <w:r>
        <w:t xml:space="preserve"> (</w:t>
      </w:r>
      <w:r>
        <w:rPr>
          <w:rFonts w:ascii="Consolas" w:hAnsi="Consolas"/>
        </w:rPr>
        <w:t xml:space="preserve">research/DRR_Detection_Validation_Protocol.md:42</w:t>
      </w:r>
      <w:r>
        <w:t xml:space="preserve">).</w:t>
      </w:r>
    </w:p>
    <w:p>
      <w:pPr>
        <w:pStyle w:val="Heading3"/>
        <w:spacing w:after="140"/>
      </w:pPr>
      <w:r>
        <w:t xml:space="preserve">A second route reaches 58 by a different composition, and the difference is disclosed rather than smoothed over</w:t>
      </w:r>
    </w:p>
    <w:p>
      <w:pPr>
        <w:spacing w:after="140"/>
      </w:pPr>
      <w:r>
        <w:rPr>
          <w:rFonts w:ascii="Consolas" w:hAnsi="Consolas"/>
        </w:rPr>
        <w:t xml:space="preserve">research/count_participants.py</w:t>
      </w:r>
      <w:r>
        <w:t xml:space="preserve"> publishes 58 as </w:t>
      </w:r>
      <w:r>
        <w:rPr>
          <w:i/>
        </w:rPr>
        <w:t xml:space="preserve">people who have graded at least one record</w:t>
      </w:r>
      <w:r>
        <w:t xml:space="preserve">, composed as 16 Arm A graders + 21 Arm B graders + 4 Study 004 experts the other studies never touched + 17 bench reviewers. That set </w:t>
      </w:r>
      <w:r>
        <w:rPr>
          <w:b/>
        </w:rPr>
        <w:t xml:space="preserve">includes `RR-108`</w:t>
      </w:r>
      <w:r>
        <w:t xml:space="preserve">, who graded 9 of 24 and is not a completer, and </w:t>
      </w:r>
      <w:r>
        <w:rPr>
          <w:b/>
        </w:rPr>
        <w:t xml:space="preserve">excludes `E-11`</w:t>
      </w:r>
      <w:r>
        <w:t xml:space="preserve">, a rater code carrying one label and no identity row. The two exclusions cancel, so both routes print 58 while describing sets that are not identical.</w:t>
      </w:r>
    </w:p>
    <w:p>
      <w:pPr>
        <w:spacing w:after="140"/>
      </w:pPr>
      <w:r>
        <w:t xml:space="preserve">The Acknowledgments sentence follows the first route, because that is the arithmetic a reader of the Acknowledgments can actually perform from the three groups named immediately above it.</w:t>
      </w:r>
    </w:p>
    <w:p>
      <w:pPr>
        <w:pStyle w:val="Heading3"/>
        <w:spacing w:after="140"/>
      </w:pPr>
      <w:r>
        <w:t xml:space="preserve">The five mandated questions</w:t>
      </w:r>
    </w:p>
    <w:p>
      <w:pPr>
        <w:spacing w:after="140"/>
      </w:pPr>
      <w:r>
        <w:rPr>
          <w:b/>
        </w:rPr>
        <w:t xml:space="preserve">1. Are Arm A and Arm B both expert populations?</w:t>
      </w:r>
      <w:r>
        <w:t xml:space="preserve"> Yes. Arm A: every one of the 16 completers is named with credentials in </w:t>
      </w:r>
      <w:r>
        <w:rPr>
          <w:rFonts w:ascii="Consolas" w:hAnsi="Consolas"/>
        </w:rPr>
        <w:t xml:space="preserve">Expert_Roster_All_Studies_2026-08-06.md</w:t>
      </w:r>
      <w:r>
        <w:t xml:space="preserve"> Study 011, and the manuscript states the eligibility rule. Arm B: 20 completers, the two anonymous entries typed "JRS-naive expert professional", and </w:t>
      </w:r>
      <w:r>
        <w:rPr>
          <w:rFonts w:ascii="Consolas" w:hAnsi="Consolas"/>
        </w:rPr>
        <w:t xml:space="preserve">DRR_Detection_Validation_Protocol.md:46</w:t>
      </w:r>
      <w:r>
        <w:t xml:space="preserve"> states that random assignment holds participant caliber constant so that any B1 against B2 difference is attributable to the standard and not to expertise.</w:t>
      </w:r>
    </w:p>
    <w:p>
      <w:pPr>
        <w:spacing w:after="140"/>
      </w:pPr>
      <w:r>
        <w:rPr>
          <w:b/>
        </w:rPr>
        <w:t xml:space="preserve">2. Are the 16 Arm A and 20 Arm B participants distinct individuals?</w:t>
      </w:r>
      <w:r>
        <w:t xml:space="preserve"> Yes, verified at run time by personal name across every roster row. No name holds both a V-AI and an RR code.</w:t>
      </w:r>
    </w:p>
    <w:p>
      <w:pPr>
        <w:spacing w:after="140"/>
      </w:pPr>
      <w:r>
        <w:rPr>
          <w:b/>
        </w:rPr>
        <w:t xml:space="preserve">3. Does the 58-person total remain correct?</w:t>
      </w:r>
      <w:r>
        <w:t xml:space="preserve"> Yes.</w:t>
      </w:r>
    </w:p>
    <w:p>
      <w:pPr>
        <w:spacing w:after="140"/>
      </w:pPr>
      <w:r>
        <w:rPr>
          <w:b/>
        </w:rPr>
        <w:t xml:space="preserve">4. If 58 is correct, what three-person overlap explains the difference from 61 participation records?</w:t>
      </w:r>
      <w:r>
        <w:t xml:space="preserve"> E-09 is V-AI-06; E-12 is V-AI-07; E-13 is V-AI-03. Each is one human being holding a detection-panel code and a reliability-rater code.</w:t>
      </w:r>
    </w:p>
    <w:p>
      <w:pPr>
        <w:spacing w:after="140"/>
      </w:pPr>
      <w:r>
        <w:rPr>
          <w:b/>
        </w:rPr>
        <w:t xml:space="preserve">5. If 61 is correct, why did the manuscript previously state 58?</w:t>
      </w:r>
      <w:r>
        <w:t xml:space="preserve"> Not applicable. 61 is a count of participations, not of people, and the manuscript did not previously state it.</w:t>
      </w:r>
    </w:p>
    <w:p>
      <w:pPr>
        <w:pBdr>
          <w:bottom w:val="single" w:sz="6" w:space="1" w:color="AAAAAA"/>
        </w:pBdr>
      </w:pPr>
    </w:p>
    <w:p>
      <w:pPr>
        <w:pStyle w:val="Heading2"/>
        <w:spacing w:after="140"/>
      </w:pPr>
      <w:r>
        <w:t xml:space="preserve">2. Text corrections</w:t>
      </w:r>
    </w:p>
    <w:p>
      <w:pPr>
        <w:pStyle w:val="Heading3"/>
        <w:spacing w:after="140"/>
      </w:pPr>
      <w:r>
        <w:t xml:space="preserve">Correction 1. Acknowledgments, participant accounting. APPLIED.</w:t>
      </w:r>
    </w:p>
    <w:p>
      <w:pPr>
        <w:spacing w:after="140"/>
      </w:pPr>
      <w:r>
        <w:rPr>
          <w:b/>
        </w:rPr>
        <w:t xml:space="preserve">Category:</w:t>
      </w:r>
      <w:r>
        <w:t xml:space="preserve"> CLARIFICATION</w:t>
      </w:r>
    </w:p>
    <w:p>
      <w:pPr>
        <w:spacing w:after="140"/>
      </w:pPr>
      <w:r>
        <w:rPr>
          <w:b/>
        </w:rPr>
        <w:t xml:space="preserve">Original wording</w:t>
      </w:r>
    </w:p>
    <w:p>
      <w:pPr>
        <w:spacing w:after="140"/>
      </w:pPr>
      <w:r>
        <w:t xml:space="preserve">&gt; All 58 worked unpaid, in a personal capacity, with nothing at stake in the outcome.</w:t>
      </w:r>
    </w:p>
    <w:p>
      <w:pPr>
        <w:spacing w:after="140"/>
      </w:pPr>
      <w:r>
        <w:rPr>
          <w:b/>
        </w:rPr>
        <w:t xml:space="preserve">Replacement wording</w:t>
      </w:r>
    </w:p>
    <w:p>
      <w:pPr>
        <w:spacing w:after="140"/>
      </w:pPr>
      <w:r>
        <w:t xml:space="preserve">&gt; 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w:t>
      </w:r>
    </w:p>
    <w:p>
      <w:pPr>
        <w:spacing w:after="140"/>
      </w:pPr>
      <w:r>
        <w:rPr>
          <w:b/>
        </w:rPr>
        <w:t xml:space="preserve">Reason.</w:t>
      </w:r>
      <w:r>
        <w:t xml:space="preserve"> the Acknowledgments credit three groups summing to 61 participations and then state a total of 58, with nothing to bridge them. The source records establish that 58 is correct and that the difference is a 3-person overlap, so the number is retained and the overlap is stated.</w:t>
      </w:r>
    </w:p>
    <w:p>
      <w:pPr>
        <w:spacing w:after="140"/>
      </w:pPr>
      <w:r>
        <w:rPr>
          <w:b/>
        </w:rPr>
        <w:t xml:space="preserve">Source.</w:t>
      </w:r>
      <w:r>
        <w:t xml:space="preserve"> </w:t>
      </w:r>
      <w:r>
        <w:rPr>
          <w:rFonts w:ascii="Consolas" w:hAnsi="Consolas"/>
        </w:rPr>
        <w:t xml:space="preserve">research/build_expert_roster.py:121</w:t>
      </w:r>
      <w:r>
        <w:t xml:space="preserve"> </w:t>
      </w:r>
      <w:r>
        <w:rPr>
          <w:rFonts w:ascii="Consolas" w:hAnsi="Consolas"/>
        </w:rPr>
        <w:t xml:space="preserve">CROSS_STUDY_SAME_PERSON</w:t>
      </w:r>
      <w:r>
        <w:t xml:space="preserve"> = E-09 is V-AI-06, E-12 is V-AI-07, E-13 is V-AI-03; </w:t>
      </w:r>
      <w:r>
        <w:rPr>
          <w:rFonts w:ascii="Consolas" w:hAnsi="Consolas"/>
        </w:rPr>
        <w:t xml:space="preserve">research/count_participants.py</w:t>
      </w:r>
      <w:r>
        <w:t xml:space="preserve"> prints 58; </w:t>
      </w:r>
      <w:r>
        <w:rPr>
          <w:rFonts w:ascii="Consolas" w:hAnsi="Consolas"/>
        </w:rPr>
        <w:t xml:space="preserve">research/Expert_Roster_All_Studies_2026-08-06.md:73</w:t>
      </w:r>
    </w:p>
    <w:p>
      <w:pPr>
        <w:pStyle w:val="Heading3"/>
        <w:spacing w:after="140"/>
      </w:pPr>
      <w:r>
        <w:t xml:space="preserve">Correction 3. Section 5, comparison-study participants. APPLIED.</w:t>
      </w:r>
    </w:p>
    <w:p>
      <w:pPr>
        <w:spacing w:after="140"/>
      </w:pPr>
      <w:r>
        <w:rPr>
          <w:b/>
        </w:rPr>
        <w:t xml:space="preserve">Category:</w:t>
      </w:r>
      <w:r>
        <w:t xml:space="preserve"> CLARIFICATION</w:t>
      </w:r>
    </w:p>
    <w:p>
      <w:pPr>
        <w:spacing w:after="140"/>
      </w:pPr>
      <w:r>
        <w:rPr>
          <w:b/>
        </w:rPr>
        <w:t xml:space="preserve">Original wording</w:t>
      </w:r>
    </w:p>
    <w:p>
      <w:pPr>
        <w:spacing w:after="140"/>
      </w:pPr>
      <w:r>
        <w:t xml:space="preserve">&gt; Those participants are credentialed professionals of the same standing as the panel reported here, randomised between applying the five conditions and applying a general prompt.</w:t>
      </w:r>
    </w:p>
    <w:p>
      <w:pPr>
        <w:spacing w:after="140"/>
      </w:pPr>
      <w:r>
        <w:rPr>
          <w:b/>
        </w:rPr>
        <w:t xml:space="preserve">Replacement wording</w:t>
      </w:r>
    </w:p>
    <w:p>
      <w:pPr>
        <w:spacing w:after="140"/>
      </w:pPr>
      <w:r>
        <w:t xml:space="preserve">&gt; That study comprises 20 independent experts of the same professional standing as the detection panel, randomised between applying the five conditions and applying a general prompt.</w:t>
      </w:r>
    </w:p>
    <w:p>
      <w:pPr>
        <w:spacing w:after="140"/>
      </w:pPr>
      <w:r>
        <w:rPr>
          <w:b/>
        </w:rPr>
        <w:t xml:space="preserve">Reason.</w:t>
      </w:r>
      <w:r>
        <w:t xml:space="preserve"> the Methods described the comparison participants' standing but never stated their number or called them experts, leaving the count recoverable only from the Acknowledgments. The source records establish both.</w:t>
      </w:r>
    </w:p>
    <w:p>
      <w:pPr>
        <w:spacing w:after="140"/>
      </w:pPr>
      <w:r>
        <w:rPr>
          <w:b/>
        </w:rPr>
        <w:t xml:space="preserve">Source.</w:t>
      </w:r>
      <w:r>
        <w:t xml:space="preserve"> </w:t>
      </w:r>
      <w:r>
        <w:rPr>
          <w:rFonts w:ascii="Consolas" w:hAnsi="Consolas"/>
        </w:rPr>
        <w:t xml:space="preserve">research/Expert_Roster_All_Studies_2026-08-06.md</w:t>
      </w:r>
      <w:r>
        <w:t xml:space="preserve"> Study 012, 20 completers, the two anonymous entries typed "JRS-naive expert professional"; live </w:t>
      </w:r>
      <w:r>
        <w:rPr>
          <w:rFonts w:ascii="Consolas" w:hAnsi="Consolas"/>
        </w:rPr>
        <w:t xml:space="preserve">armb_progress</w:t>
      </w:r>
      <w:r>
        <w:t xml:space="preserve"> read 2026-08-18, 20 rows at 24 reads</w:t>
      </w:r>
    </w:p>
    <w:p>
      <w:pPr>
        <w:pStyle w:val="Heading3"/>
        <w:spacing w:after="140"/>
      </w:pPr>
      <w:r>
        <w:t xml:space="preserve">Correction 4. Section 3, comparison-study relationship. APPLIED.</w:t>
      </w:r>
    </w:p>
    <w:p>
      <w:pPr>
        <w:spacing w:after="140"/>
      </w:pPr>
      <w:r>
        <w:rPr>
          <w:b/>
        </w:rPr>
        <w:t xml:space="preserve">Category:</w:t>
      </w:r>
      <w:r>
        <w:t xml:space="preserve"> CLARIFICATION</w:t>
      </w:r>
    </w:p>
    <w:p>
      <w:pPr>
        <w:spacing w:after="140"/>
      </w:pPr>
      <w:r>
        <w:rPr>
          <w:b/>
        </w:rPr>
        <w:t xml:space="preserve">Original wording</w:t>
      </w:r>
    </w:p>
    <w:p>
      <w:pPr>
        <w:spacing w:after="140"/>
      </w:pPr>
      <w:r>
        <w:t xml:space="preserve">&gt; Its participants are credentialed professionals drawn from the same pool and randomised within it, so the two arms differ in the method applied and not in the expertise of the people applying it.</w:t>
      </w:r>
    </w:p>
    <w:p>
      <w:pPr>
        <w:spacing w:after="140"/>
      </w:pPr>
      <w:r>
        <w:rPr>
          <w:b/>
        </w:rPr>
        <w:t xml:space="preserve">Replacement wording</w:t>
      </w:r>
    </w:p>
    <w:p>
      <w:pPr>
        <w:spacing w:after="140"/>
      </w:pPr>
      <w:r>
        <w:t xml:space="preserve">&gt; Its participants are a separate set of credentialed professionals recruited from the same professional population and randomised between review methods, so its two conditions differ in the method applied and not in the expertise of the people applying it.</w:t>
      </w:r>
    </w:p>
    <w:p>
      <w:pPr>
        <w:spacing w:after="140"/>
      </w:pPr>
      <w:r>
        <w:rPr>
          <w:b/>
        </w:rPr>
        <w:t xml:space="preserve">Reason.</w:t>
      </w:r>
      <w:r>
        <w:t xml:space="preserve"> "drawn from the same pool and randomised within it" can be read as meaning the detection panel itself was randomised. It was not: the protocol specifies a fresh pool, and no named person holds both a detection-panel code and a comparison-study code. "the two arms" also misnamed the comparison's own two conditions as the arms of this study, which has none.</w:t>
      </w:r>
    </w:p>
    <w:p>
      <w:pPr>
        <w:spacing w:after="140"/>
      </w:pPr>
      <w:r>
        <w:rPr>
          <w:b/>
        </w:rPr>
        <w:t xml:space="preserve">Source.</w:t>
      </w:r>
      <w:r>
        <w:t xml:space="preserve"> </w:t>
      </w:r>
      <w:r>
        <w:rPr>
          <w:rFonts w:ascii="Consolas" w:hAnsi="Consolas"/>
        </w:rPr>
        <w:t xml:space="preserve">research/DRR_Detection_Validation_Protocol.md:42</w:t>
      </w:r>
      <w:r>
        <w:t xml:space="preserve"> "A fresh pool of participants of comparable background"; disjointness verified at run time across every named V-AI and RR row in </w:t>
      </w:r>
      <w:r>
        <w:rPr>
          <w:rFonts w:ascii="Consolas" w:hAnsi="Consolas"/>
        </w:rPr>
        <w:t xml:space="preserve">research/Expert_Roster_All_Studies_2026-08-06.md</w:t>
      </w:r>
    </w:p>
    <w:p>
      <w:pPr>
        <w:pStyle w:val="Heading3"/>
        <w:spacing w:after="140"/>
      </w:pPr>
      <w:r>
        <w:t xml:space="preserve">Correction 7. Appendix B, denominator. APPLIED.</w:t>
      </w:r>
    </w:p>
    <w:p>
      <w:pPr>
        <w:spacing w:after="140"/>
      </w:pPr>
      <w:r>
        <w:rPr>
          <w:b/>
        </w:rPr>
        <w:t xml:space="preserve">Category:</w:t>
      </w:r>
      <w:r>
        <w:t xml:space="preserve"> METHODOLOGICAL</w:t>
      </w:r>
    </w:p>
    <w:p>
      <w:pPr>
        <w:spacing w:after="140"/>
      </w:pPr>
      <w:r>
        <w:rPr>
          <w:b/>
        </w:rPr>
        <w:t xml:space="preserve">Original wording</w:t>
      </w:r>
    </w:p>
    <w:p>
      <w:pPr>
        <w:spacing w:after="140"/>
      </w:pPr>
      <w:r>
        <w:t xml:space="preserve">&gt; Across the 113 overall determinations recorded under the five-condition instrument:</w:t>
      </w:r>
    </w:p>
    <w:p>
      <w:pPr>
        <w:spacing w:after="140"/>
      </w:pPr>
      <w:r>
        <w:rPr>
          <w:b/>
        </w:rPr>
        <w:t xml:space="preserve">Replacement wording</w:t>
      </w:r>
    </w:p>
    <w:p>
      <w:pPr>
        <w:spacing w:after="140"/>
      </w:pPr>
      <w:r>
        <w:t xml:space="preserve">&gt; 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&gt;</w:t>
      </w:r>
    </w:p>
    <w:p>
      <w:pPr>
        <w:spacing w:after="140"/>
      </w:pPr>
      <w:r>
        <w:t xml:space="preserve">&gt; Across the 113 overall determinations recorded under the five-condition instrument:</w:t>
      </w:r>
    </w:p>
    <w:p>
      <w:pPr>
        <w:spacing w:after="140"/>
      </w:pPr>
      <w:r>
        <w:rPr>
          <w:b/>
        </w:rPr>
        <w:t xml:space="preserve">Reason.</w:t>
      </w:r>
      <w:r>
        <w:t xml:space="preserve"> Appendix B and Section 6.5 use different denominators, 113 against 104, for defensible reasons that the manuscript never stated. A reader meeting both reads an inconsistency that is not there.</w:t>
      </w:r>
    </w:p>
    <w:p>
      <w:pPr>
        <w:spacing w:after="140"/>
      </w:pPr>
      <w:r>
        <w:rPr>
          <w:b/>
        </w:rPr>
        <w:t xml:space="preserve">Source.</w:t>
      </w:r>
      <w:r>
        <w:t xml:space="preserve"> </w:t>
      </w:r>
      <w:r>
        <w:rPr>
          <w:rFonts w:ascii="Consolas" w:hAnsi="Consolas"/>
        </w:rPr>
        <w:t xml:space="preserve">research/FULL_DATA_ANALYSIS_2026-08-15.txt</w:t>
      </w:r>
      <w:r>
        <w:t xml:space="preserve"> section 3 reports both bases explicitly, raw jrs n=113 and deduped n=104; neither value changes</w:t>
      </w:r>
    </w:p>
    <w:p>
      <w:pPr>
        <w:pStyle w:val="Heading3"/>
        <w:spacing w:after="140"/>
      </w:pPr>
      <w:r>
        <w:t xml:space="preserve">Correction 8. Abstract. APPLIED.</w:t>
      </w:r>
    </w:p>
    <w:p>
      <w:pPr>
        <w:spacing w:after="140"/>
      </w:pPr>
      <w:r>
        <w:rPr>
          <w:b/>
        </w:rPr>
        <w:t xml:space="preserve">Category:</w:t>
      </w:r>
      <w:r>
        <w:t xml:space="preserve"> CLAIM-BOUNDARY</w:t>
      </w:r>
    </w:p>
    <w:p>
      <w:pPr>
        <w:spacing w:after="140"/>
      </w:pPr>
      <w:r>
        <w:rPr>
          <w:b/>
        </w:rPr>
        <w:t xml:space="preserve">Original wording</w:t>
      </w:r>
    </w:p>
    <w:p>
      <w:pPr>
        <w:spacing w:after="140"/>
      </w:pPr>
      <w:r>
        <w:t xml:space="preserve">&gt; If they cannot, no governance control resting on human review of documentation can work.</w:t>
      </w:r>
    </w:p>
    <w:p>
      <w:pPr>
        <w:spacing w:after="140"/>
      </w:pPr>
      <w:r>
        <w:rPr>
          <w:b/>
        </w:rPr>
        <w:t xml:space="preserve">Replacement wording</w:t>
      </w:r>
    </w:p>
    <w:p>
      <w:pPr>
        <w:spacing w:after="140"/>
      </w:pPr>
      <w:r>
        <w:t xml:space="preserve">&gt; If they cannot, a governance control resting on human review of that property would lack an adequate empirical basis.</w:t>
      </w:r>
    </w:p>
    <w:p>
      <w:pPr>
        <w:spacing w:after="140"/>
      </w:pPr>
      <w:r>
        <w:rPr>
          <w:b/>
        </w:rPr>
        <w:t xml:space="preserve">Reason.</w:t>
      </w:r>
      <w:r>
        <w:t xml:space="preserve"> the Abstract still carried the absolute formulation that the Introduction had already replaced. Aligning them removes a claim the study did not test.</w:t>
      </w:r>
    </w:p>
    <w:p>
      <w:pPr>
        <w:spacing w:after="140"/>
      </w:pPr>
      <w:r>
        <w:rPr>
          <w:b/>
        </w:rPr>
        <w:t xml:space="preserve">Source.</w:t>
      </w:r>
      <w:r>
        <w:t xml:space="preserve"> the Introduction's own wording in this manuscript, and </w:t>
      </w:r>
      <w:r>
        <w:rPr>
          <w:rFonts w:ascii="Consolas" w:hAnsi="Consolas"/>
        </w:rPr>
        <w:t xml:space="preserve">research/DRR_Detection_Validation_Protocol.md:96</w:t>
      </w:r>
      <w:r>
        <w:t xml:space="preserve">, which bounds the study to detectability</w:t>
      </w:r>
    </w:p>
    <w:p>
      <w:pPr>
        <w:pBdr>
          <w:bottom w:val="single" w:sz="6" w:space="1" w:color="AAAAAA"/>
        </w:pBdr>
      </w:pPr>
    </w:p>
    <w:p>
      <w:pPr>
        <w:pStyle w:val="Heading2"/>
        <w:spacing w:after="140"/>
      </w:pPr>
      <w:r>
        <w:t xml:space="preserve">3. Corrections 9 and 10, enforced as a statistical gate</w:t>
      </w:r>
    </w:p>
    <w:p>
      <w:pPr>
        <w:spacing w:after="140"/>
      </w:pPr>
      <w:r>
        <w:t xml:space="preserve">Every reliability and participant figure printed in the manuscript is compared against </w:t>
      </w:r>
      <w:r>
        <w:rPr>
          <w:rFonts w:ascii="Consolas" w:hAnsi="Consolas"/>
        </w:rPr>
        <w:t xml:space="preserve">research/current_reliability_2026-08-18.json</w:t>
      </w:r>
      <w:r>
        <w:t xml:space="preserve">, the recomputation performed against live </w:t>
      </w:r>
      <w:r>
        <w:rPr>
          <w:rFonts w:ascii="Consolas" w:hAnsi="Consolas"/>
        </w:rPr>
        <w:t xml:space="preserve">bench_labels</w:t>
      </w:r>
      <w:r>
        <w:t xml:space="preserve"> with </w:t>
      </w:r>
      <w:r>
        <w:rPr>
          <w:rFonts w:ascii="Consolas" w:hAnsi="Consolas"/>
        </w:rPr>
        <w:t xml:space="preserve">research/compute_ac1_ci.py</w:t>
      </w:r>
      <w:r>
        <w:t xml:space="preserve"> imported unmodified. The script writes nothing if any row fails.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Check</w:t>
            </w:r>
          </w:p>
        </w:tc>
        <w:tc>
          <w:tcPr>
            <w:tcW w:w="2340" w:type="dxa"/>
          </w:tcPr>
          <w:p>
            <w:pPr>
              <w:spacing w:after="0"/>
            </w:pPr>
            <w:r>
              <w:t xml:space="preserve">Printed</w:t>
            </w:r>
          </w:p>
        </w:tc>
        <w:tc>
          <w:tcPr>
            <w:tcW w:w="2340" w:type="dxa"/>
          </w:tcPr>
          <w:p>
            <w:pPr>
              <w:spacing w:after="0"/>
            </w:pPr>
            <w:r>
              <w:t xml:space="preserve">Recomputed</w:t>
            </w:r>
          </w:p>
        </w:tc>
        <w:tc>
          <w:tcPr>
            <w:tcW w:w="2340" w:type="dxa"/>
          </w:tcPr>
          <w:p>
            <w:pPr>
              <w:spacing w:after="0"/>
            </w:pPr>
            <w:r>
              <w:t xml:space="preserve">Match</w:t>
            </w:r>
          </w:p>
        </w:tc>
      </w:tr>
      <w:tr>
        <w:tc>
          <w:tcPr>
            <w:tcW w:w="2340" w:type="dxa"/>
          </w:tcPr>
          <w:p>
            <w:pPr>
              <w:spacing w:after="0"/>
            </w:pPr>
            <w:r>
              <w:t xml:space="preserve">expert 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expert labels</w:t>
            </w:r>
          </w:p>
        </w:tc>
        <w:tc>
          <w:tcPr>
            <w:tcW w:w="2340" w:type="dxa"/>
          </w:tcPr>
          <w:p>
            <w:pPr>
              <w:spacing w:after="0"/>
            </w:pPr>
            <w:r>
              <w:rPr>
                <w:rFonts w:ascii="Consolas" w:hAnsi="Consolas"/>
              </w:rPr>
              <w:t xml:space="preserve">36</w:t>
            </w:r>
          </w:p>
        </w:tc>
        <w:tc>
          <w:tcPr>
            <w:tcW w:w="2340" w:type="dxa"/>
          </w:tcPr>
          <w:p>
            <w:pPr>
              <w:spacing w:after="0"/>
            </w:pPr>
            <w:r>
              <w:rPr>
                <w:rFonts w:ascii="Consolas" w:hAnsi="Consolas"/>
              </w:rPr>
              <w:t xml:space="preserve">36</w:t>
            </w:r>
          </w:p>
        </w:tc>
        <w:tc>
          <w:tcPr>
            <w:tcW w:w="2340" w:type="dxa"/>
          </w:tcPr>
          <w:p>
            <w:pPr>
              <w:spacing w:after="0"/>
            </w:pPr>
            <w:r>
              <w:t xml:space="preserve">ok</w:t>
            </w:r>
          </w:p>
        </w:tc>
      </w:tr>
      <w:tr>
        <w:tc>
          <w:tcPr>
            <w:tcW w:w="2340" w:type="dxa"/>
          </w:tcPr>
          <w:p>
            <w:pPr>
              <w:spacing w:after="0"/>
            </w:pPr>
            <w:r>
              <w:t xml:space="preserve">expert raters</w:t>
            </w:r>
          </w:p>
        </w:tc>
        <w:tc>
          <w:tcPr>
            <w:tcW w:w="2340" w:type="dxa"/>
          </w:tcPr>
          <w:p>
            <w:pPr>
              <w:spacing w:after="0"/>
            </w:pPr>
            <w:r>
              <w:rPr>
                <w:rFonts w:ascii="Consolas" w:hAnsi="Consolas"/>
              </w:rPr>
              <w:t xml:space="preserve">8</w:t>
            </w:r>
          </w:p>
        </w:tc>
        <w:tc>
          <w:tcPr>
            <w:tcW w:w="2340" w:type="dxa"/>
          </w:tcPr>
          <w:p>
            <w:pPr>
              <w:spacing w:after="0"/>
            </w:pPr>
            <w:r>
              <w:rPr>
                <w:rFonts w:ascii="Consolas" w:hAnsi="Consolas"/>
              </w:rPr>
              <w:t xml:space="preserve">8</w:t>
            </w:r>
          </w:p>
        </w:tc>
        <w:tc>
          <w:tcPr>
            <w:tcW w:w="2340" w:type="dxa"/>
          </w:tcPr>
          <w:p>
            <w:pPr>
              <w:spacing w:after="0"/>
            </w:pPr>
            <w:r>
              <w:t xml:space="preserve">ok</w:t>
            </w:r>
          </w:p>
        </w:tc>
      </w:tr>
      <w:tr>
        <w:tc>
          <w:tcPr>
            <w:tcW w:w="2340" w:type="dxa"/>
          </w:tcPr>
          <w:p>
            <w:pPr>
              <w:spacing w:after="0"/>
            </w:pPr>
            <w:r>
              <w:t xml:space="preserve">expert AC1</w:t>
            </w:r>
          </w:p>
        </w:tc>
        <w:tc>
          <w:tcPr>
            <w:tcW w:w="2340" w:type="dxa"/>
          </w:tcPr>
          <w:p>
            <w:pPr>
              <w:spacing w:after="0"/>
            </w:pPr>
            <w:r>
              <w:rPr>
                <w:rFonts w:ascii="Consolas" w:hAnsi="Consolas"/>
              </w:rPr>
              <w:t xml:space="preserve">0.739</w:t>
            </w:r>
          </w:p>
        </w:tc>
        <w:tc>
          <w:tcPr>
            <w:tcW w:w="2340" w:type="dxa"/>
          </w:tcPr>
          <w:p>
            <w:pPr>
              <w:spacing w:after="0"/>
            </w:pPr>
            <w:r>
              <w:rPr>
                <w:rFonts w:ascii="Consolas" w:hAnsi="Consolas"/>
              </w:rPr>
              <w:t xml:space="preserve">0.739</w:t>
            </w:r>
          </w:p>
        </w:tc>
        <w:tc>
          <w:tcPr>
            <w:tcW w:w="2340" w:type="dxa"/>
          </w:tcPr>
          <w:p>
            <w:pPr>
              <w:spacing w:after="0"/>
            </w:pPr>
            <w:r>
              <w:t xml:space="preserve">ok</w:t>
            </w:r>
          </w:p>
        </w:tc>
      </w:tr>
      <w:tr>
        <w:tc>
          <w:tcPr>
            <w:tcW w:w="2340" w:type="dxa"/>
          </w:tcPr>
          <w:p>
            <w:pPr>
              <w:spacing w:after="0"/>
            </w:pPr>
            <w:r>
              <w:t xml:space="preserve">expert analytic low</w:t>
            </w:r>
          </w:p>
        </w:tc>
        <w:tc>
          <w:tcPr>
            <w:tcW w:w="2340" w:type="dxa"/>
          </w:tcPr>
          <w:p>
            <w:pPr>
              <w:spacing w:after="0"/>
            </w:pPr>
            <w:r>
              <w:rPr>
                <w:rFonts w:ascii="Consolas" w:hAnsi="Consolas"/>
              </w:rPr>
              <w:t xml:space="preserve">0.402</w:t>
            </w:r>
          </w:p>
        </w:tc>
        <w:tc>
          <w:tcPr>
            <w:tcW w:w="2340" w:type="dxa"/>
          </w:tcPr>
          <w:p>
            <w:pPr>
              <w:spacing w:after="0"/>
            </w:pPr>
            <w:r>
              <w:rPr>
                <w:rFonts w:ascii="Consolas" w:hAnsi="Consolas"/>
              </w:rPr>
              <w:t xml:space="preserve">0.402</w:t>
            </w:r>
          </w:p>
        </w:tc>
        <w:tc>
          <w:tcPr>
            <w:tcW w:w="2340" w:type="dxa"/>
          </w:tcPr>
          <w:p>
            <w:pPr>
              <w:spacing w:after="0"/>
            </w:pPr>
            <w:r>
              <w:t xml:space="preserve">ok</w:t>
            </w:r>
          </w:p>
        </w:tc>
      </w:tr>
      <w:tr>
        <w:tc>
          <w:tcPr>
            <w:tcW w:w="2340" w:type="dxa"/>
          </w:tcPr>
          <w:p>
            <w:pPr>
              <w:spacing w:after="0"/>
            </w:pPr>
            <w:r>
              <w:t xml:space="preserve">expert analytic high</w:t>
            </w:r>
          </w:p>
        </w:tc>
        <w:tc>
          <w:tcPr>
            <w:tcW w:w="2340" w:type="dxa"/>
          </w:tcPr>
          <w:p>
            <w:pPr>
              <w:spacing w:after="0"/>
            </w:pPr>
            <w:r>
              <w:rPr>
                <w:rFonts w:ascii="Consolas" w:hAnsi="Consolas"/>
              </w:rPr>
              <w:t xml:space="preserve">1.000</w:t>
            </w:r>
          </w:p>
        </w:tc>
        <w:tc>
          <w:tcPr>
            <w:tcW w:w="2340" w:type="dxa"/>
          </w:tcPr>
          <w:p>
            <w:pPr>
              <w:spacing w:after="0"/>
            </w:pPr>
            <w:r>
              <w:rPr>
                <w:rFonts w:ascii="Consolas" w:hAnsi="Consolas"/>
              </w:rPr>
              <w:t xml:space="preserve">1.000</w:t>
            </w:r>
          </w:p>
        </w:tc>
        <w:tc>
          <w:tcPr>
            <w:tcW w:w="2340" w:type="dxa"/>
          </w:tcPr>
          <w:p>
            <w:pPr>
              <w:spacing w:after="0"/>
            </w:pPr>
            <w:r>
              <w:t xml:space="preserve">ok</w:t>
            </w:r>
          </w:p>
        </w:tc>
      </w:tr>
      <w:tr>
        <w:tc>
          <w:tcPr>
            <w:tcW w:w="2340" w:type="dxa"/>
          </w:tcPr>
          <w:p>
            <w:pPr>
              <w:spacing w:after="0"/>
            </w:pPr>
            <w:r>
              <w:t xml:space="preserve">expert bootstrap low</w:t>
            </w:r>
          </w:p>
        </w:tc>
        <w:tc>
          <w:tcPr>
            <w:tcW w:w="2340" w:type="dxa"/>
          </w:tcPr>
          <w:p>
            <w:pPr>
              <w:spacing w:after="0"/>
            </w:pPr>
            <w:r>
              <w:rPr>
                <w:rFonts w:ascii="Consolas" w:hAnsi="Consolas"/>
              </w:rPr>
              <w:t xml:space="preserve">0.427</w:t>
            </w:r>
          </w:p>
        </w:tc>
        <w:tc>
          <w:tcPr>
            <w:tcW w:w="2340" w:type="dxa"/>
          </w:tcPr>
          <w:p>
            <w:pPr>
              <w:spacing w:after="0"/>
            </w:pPr>
            <w:r>
              <w:rPr>
                <w:rFonts w:ascii="Consolas" w:hAnsi="Consolas"/>
              </w:rPr>
              <w:t xml:space="preserve">0.427</w:t>
            </w:r>
          </w:p>
        </w:tc>
        <w:tc>
          <w:tcPr>
            <w:tcW w:w="2340" w:type="dxa"/>
          </w:tcPr>
          <w:p>
            <w:pPr>
              <w:spacing w:after="0"/>
            </w:pPr>
            <w:r>
              <w:t xml:space="preserve">ok</w:t>
            </w:r>
          </w:p>
        </w:tc>
      </w:tr>
      <w:tr>
        <w:tc>
          <w:tcPr>
            <w:tcW w:w="2340" w:type="dxa"/>
          </w:tcPr>
          <w:p>
            <w:pPr>
              <w:spacing w:after="0"/>
            </w:pPr>
            <w:r>
              <w:t xml:space="preserve">expert bootstrap high</w:t>
            </w:r>
          </w:p>
        </w:tc>
        <w:tc>
          <w:tcPr>
            <w:tcW w:w="2340" w:type="dxa"/>
          </w:tcPr>
          <w:p>
            <w:pPr>
              <w:spacing w:after="0"/>
            </w:pPr>
            <w:r>
              <w:rPr>
                <w:rFonts w:ascii="Consolas" w:hAnsi="Consolas"/>
              </w:rPr>
              <w:t xml:space="preserve">1.000</w:t>
            </w:r>
          </w:p>
        </w:tc>
        <w:tc>
          <w:tcPr>
            <w:tcW w:w="2340" w:type="dxa"/>
          </w:tcPr>
          <w:p>
            <w:pPr>
              <w:spacing w:after="0"/>
            </w:pPr>
            <w:r>
              <w:rPr>
                <w:rFonts w:ascii="Consolas" w:hAnsi="Consolas"/>
              </w:rPr>
              <w:t xml:space="preserve">1.000</w:t>
            </w:r>
          </w:p>
        </w:tc>
        <w:tc>
          <w:tcPr>
            <w:tcW w:w="2340" w:type="dxa"/>
          </w:tcPr>
          <w:p>
            <w:pPr>
              <w:spacing w:after="0"/>
            </w:pPr>
            <w:r>
              <w:t xml:space="preserve">ok</w:t>
            </w:r>
          </w:p>
        </w:tc>
      </w:tr>
      <w:tr>
        <w:tc>
          <w:tcPr>
            <w:tcW w:w="2340" w:type="dxa"/>
          </w:tcPr>
          <w:p>
            <w:pPr>
              <w:spacing w:after="0"/>
            </w:pPr>
            <w:r>
              <w:t xml:space="preserve">regular 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regular labels</w:t>
            </w:r>
          </w:p>
        </w:tc>
        <w:tc>
          <w:tcPr>
            <w:tcW w:w="2340" w:type="dxa"/>
          </w:tcPr>
          <w:p>
            <w:pPr>
              <w:spacing w:after="0"/>
            </w:pPr>
            <w:r>
              <w:rPr>
                <w:rFonts w:ascii="Consolas" w:hAnsi="Consolas"/>
              </w:rPr>
              <w:t xml:space="preserve">68</w:t>
            </w:r>
          </w:p>
        </w:tc>
        <w:tc>
          <w:tcPr>
            <w:tcW w:w="2340" w:type="dxa"/>
          </w:tcPr>
          <w:p>
            <w:pPr>
              <w:spacing w:after="0"/>
            </w:pPr>
            <w:r>
              <w:rPr>
                <w:rFonts w:ascii="Consolas" w:hAnsi="Consolas"/>
              </w:rPr>
              <w:t xml:space="preserve">68</w:t>
            </w:r>
          </w:p>
        </w:tc>
        <w:tc>
          <w:tcPr>
            <w:tcW w:w="2340" w:type="dxa"/>
          </w:tcPr>
          <w:p>
            <w:pPr>
              <w:spacing w:after="0"/>
            </w:pPr>
            <w:r>
              <w:t xml:space="preserve">ok</w:t>
            </w:r>
          </w:p>
        </w:tc>
      </w:tr>
      <w:tr>
        <w:tc>
          <w:tcPr>
            <w:tcW w:w="2340" w:type="dxa"/>
          </w:tcPr>
          <w:p>
            <w:pPr>
              <w:spacing w:after="0"/>
            </w:pPr>
            <w:r>
              <w:t xml:space="preserve">regular raters</w:t>
            </w:r>
          </w:p>
        </w:tc>
        <w:tc>
          <w:tcPr>
            <w:tcW w:w="2340" w:type="dxa"/>
          </w:tcPr>
          <w:p>
            <w:pPr>
              <w:spacing w:after="0"/>
            </w:pPr>
            <w:r>
              <w:rPr>
                <w:rFonts w:ascii="Consolas" w:hAnsi="Consolas"/>
              </w:rPr>
              <w:t xml:space="preserve">14</w:t>
            </w:r>
          </w:p>
        </w:tc>
        <w:tc>
          <w:tcPr>
            <w:tcW w:w="2340" w:type="dxa"/>
          </w:tcPr>
          <w:p>
            <w:pPr>
              <w:spacing w:after="0"/>
            </w:pPr>
            <w:r>
              <w:rPr>
                <w:rFonts w:ascii="Consolas" w:hAnsi="Consolas"/>
              </w:rPr>
              <w:t xml:space="preserve">14</w:t>
            </w:r>
          </w:p>
        </w:tc>
        <w:tc>
          <w:tcPr>
            <w:tcW w:w="2340" w:type="dxa"/>
          </w:tcPr>
          <w:p>
            <w:pPr>
              <w:spacing w:after="0"/>
            </w:pPr>
            <w:r>
              <w:t xml:space="preserve">ok</w:t>
            </w:r>
          </w:p>
        </w:tc>
      </w:tr>
      <w:tr>
        <w:tc>
          <w:tcPr>
            <w:tcW w:w="2340" w:type="dxa"/>
          </w:tcPr>
          <w:p>
            <w:pPr>
              <w:spacing w:after="0"/>
            </w:pPr>
            <w:r>
              <w:t xml:space="preserve">regular AC1</w:t>
            </w:r>
          </w:p>
        </w:tc>
        <w:tc>
          <w:tcPr>
            <w:tcW w:w="2340" w:type="dxa"/>
          </w:tcPr>
          <w:p>
            <w:pPr>
              <w:spacing w:after="0"/>
            </w:pPr>
            <w:r>
              <w:rPr>
                <w:rFonts w:ascii="Consolas" w:hAnsi="Consolas"/>
              </w:rPr>
              <w:t xml:space="preserve">0.623</w:t>
            </w:r>
          </w:p>
        </w:tc>
        <w:tc>
          <w:tcPr>
            <w:tcW w:w="2340" w:type="dxa"/>
          </w:tcPr>
          <w:p>
            <w:pPr>
              <w:spacing w:after="0"/>
            </w:pPr>
            <w:r>
              <w:rPr>
                <w:rFonts w:ascii="Consolas" w:hAnsi="Consolas"/>
              </w:rPr>
              <w:t xml:space="preserve">0.623</w:t>
            </w:r>
          </w:p>
        </w:tc>
        <w:tc>
          <w:tcPr>
            <w:tcW w:w="2340" w:type="dxa"/>
          </w:tcPr>
          <w:p>
            <w:pPr>
              <w:spacing w:after="0"/>
            </w:pPr>
            <w:r>
              <w:t xml:space="preserve">ok</w:t>
            </w:r>
          </w:p>
        </w:tc>
      </w:tr>
      <w:tr>
        <w:tc>
          <w:tcPr>
            <w:tcW w:w="2340" w:type="dxa"/>
          </w:tcPr>
          <w:p>
            <w:pPr>
              <w:spacing w:after="0"/>
            </w:pPr>
            <w:r>
              <w:t xml:space="preserve">regular analytic low</w:t>
            </w:r>
          </w:p>
        </w:tc>
        <w:tc>
          <w:tcPr>
            <w:tcW w:w="2340" w:type="dxa"/>
          </w:tcPr>
          <w:p>
            <w:pPr>
              <w:spacing w:after="0"/>
            </w:pPr>
            <w:r>
              <w:rPr>
                <w:rFonts w:ascii="Consolas" w:hAnsi="Consolas"/>
              </w:rPr>
              <w:t xml:space="preserve">0.252</w:t>
            </w:r>
          </w:p>
        </w:tc>
        <w:tc>
          <w:tcPr>
            <w:tcW w:w="2340" w:type="dxa"/>
          </w:tcPr>
          <w:p>
            <w:pPr>
              <w:spacing w:after="0"/>
            </w:pPr>
            <w:r>
              <w:rPr>
                <w:rFonts w:ascii="Consolas" w:hAnsi="Consolas"/>
              </w:rPr>
              <w:t xml:space="preserve">0.252</w:t>
            </w:r>
          </w:p>
        </w:tc>
        <w:tc>
          <w:tcPr>
            <w:tcW w:w="2340" w:type="dxa"/>
          </w:tcPr>
          <w:p>
            <w:pPr>
              <w:spacing w:after="0"/>
            </w:pPr>
            <w:r>
              <w:t xml:space="preserve">ok</w:t>
            </w:r>
          </w:p>
        </w:tc>
      </w:tr>
      <w:tr>
        <w:tc>
          <w:tcPr>
            <w:tcW w:w="2340" w:type="dxa"/>
          </w:tcPr>
          <w:p>
            <w:pPr>
              <w:spacing w:after="0"/>
            </w:pPr>
            <w:r>
              <w:t xml:space="preserve">regular analytic high</w:t>
            </w:r>
          </w:p>
        </w:tc>
        <w:tc>
          <w:tcPr>
            <w:tcW w:w="2340" w:type="dxa"/>
          </w:tcPr>
          <w:p>
            <w:pPr>
              <w:spacing w:after="0"/>
            </w:pPr>
            <w:r>
              <w:rPr>
                <w:rFonts w:ascii="Consolas" w:hAnsi="Consolas"/>
              </w:rPr>
              <w:t xml:space="preserve">0.993</w:t>
            </w:r>
          </w:p>
        </w:tc>
        <w:tc>
          <w:tcPr>
            <w:tcW w:w="2340" w:type="dxa"/>
          </w:tcPr>
          <w:p>
            <w:pPr>
              <w:spacing w:after="0"/>
            </w:pPr>
            <w:r>
              <w:rPr>
                <w:rFonts w:ascii="Consolas" w:hAnsi="Consolas"/>
              </w:rPr>
              <w:t xml:space="preserve">0.993</w:t>
            </w:r>
          </w:p>
        </w:tc>
        <w:tc>
          <w:tcPr>
            <w:tcW w:w="2340" w:type="dxa"/>
          </w:tcPr>
          <w:p>
            <w:pPr>
              <w:spacing w:after="0"/>
            </w:pPr>
            <w:r>
              <w:t xml:space="preserve">ok</w:t>
            </w:r>
          </w:p>
        </w:tc>
      </w:tr>
      <w:tr>
        <w:tc>
          <w:tcPr>
            <w:tcW w:w="2340" w:type="dxa"/>
          </w:tcPr>
          <w:p>
            <w:pPr>
              <w:spacing w:after="0"/>
            </w:pPr>
            <w:r>
              <w:t xml:space="preserve">regular bootstrap low</w:t>
            </w:r>
          </w:p>
        </w:tc>
        <w:tc>
          <w:tcPr>
            <w:tcW w:w="2340" w:type="dxa"/>
          </w:tcPr>
          <w:p>
            <w:pPr>
              <w:spacing w:after="0"/>
            </w:pPr>
            <w:r>
              <w:rPr>
                <w:rFonts w:ascii="Consolas" w:hAnsi="Consolas"/>
              </w:rPr>
              <w:t xml:space="preserve">0.285</w:t>
            </w:r>
          </w:p>
        </w:tc>
        <w:tc>
          <w:tcPr>
            <w:tcW w:w="2340" w:type="dxa"/>
          </w:tcPr>
          <w:p>
            <w:pPr>
              <w:spacing w:after="0"/>
            </w:pPr>
            <w:r>
              <w:rPr>
                <w:rFonts w:ascii="Consolas" w:hAnsi="Consolas"/>
              </w:rPr>
              <w:t xml:space="preserve">0.285</w:t>
            </w:r>
          </w:p>
        </w:tc>
        <w:tc>
          <w:tcPr>
            <w:tcW w:w="2340" w:type="dxa"/>
          </w:tcPr>
          <w:p>
            <w:pPr>
              <w:spacing w:after="0"/>
            </w:pPr>
            <w:r>
              <w:t xml:space="preserve">ok</w:t>
            </w:r>
          </w:p>
        </w:tc>
      </w:tr>
      <w:tr>
        <w:tc>
          <w:tcPr>
            <w:tcW w:w="2340" w:type="dxa"/>
          </w:tcPr>
          <w:p>
            <w:pPr>
              <w:spacing w:after="0"/>
            </w:pPr>
            <w:r>
              <w:t xml:space="preserve">regular bootstrap high</w:t>
            </w:r>
          </w:p>
        </w:tc>
        <w:tc>
          <w:tcPr>
            <w:tcW w:w="2340" w:type="dxa"/>
          </w:tcPr>
          <w:p>
            <w:pPr>
              <w:spacing w:after="0"/>
            </w:pPr>
            <w:r>
              <w:rPr>
                <w:rFonts w:ascii="Consolas" w:hAnsi="Consolas"/>
              </w:rPr>
              <w:t xml:space="preserve">0.894</w:t>
            </w:r>
          </w:p>
        </w:tc>
        <w:tc>
          <w:tcPr>
            <w:tcW w:w="2340" w:type="dxa"/>
          </w:tcPr>
          <w:p>
            <w:pPr>
              <w:spacing w:after="0"/>
            </w:pPr>
            <w:r>
              <w:rPr>
                <w:rFonts w:ascii="Consolas" w:hAnsi="Consolas"/>
              </w:rPr>
              <w:t xml:space="preserve">0.894</w:t>
            </w:r>
          </w:p>
        </w:tc>
        <w:tc>
          <w:tcPr>
            <w:tcW w:w="2340" w:type="dxa"/>
          </w:tcPr>
          <w:p>
            <w:pPr>
              <w:spacing w:after="0"/>
            </w:pPr>
            <w:r>
              <w:t xml:space="preserve">ok</w:t>
            </w:r>
          </w:p>
        </w:tc>
      </w:tr>
      <w:tr>
        <w:tc>
          <w:tcPr>
            <w:tcW w:w="2340" w:type="dxa"/>
          </w:tcPr>
          <w:p>
            <w:pPr>
              <w:spacing w:after="0"/>
            </w:pPr>
            <w:r>
              <w:t xml:space="preserve">reliability raters, all instruments</w:t>
            </w:r>
          </w:p>
        </w:tc>
        <w:tc>
          <w:tcPr>
            <w:tcW w:w="2340" w:type="dxa"/>
          </w:tcPr>
          <w:p>
            <w:pPr>
              <w:spacing w:after="0"/>
            </w:pPr>
            <w:r>
              <w:rPr>
                <w:rFonts w:ascii="Consolas" w:hAnsi="Consolas"/>
              </w:rPr>
              <w:t xml:space="preserve">25</w:t>
            </w:r>
          </w:p>
        </w:tc>
        <w:tc>
          <w:tcPr>
            <w:tcW w:w="2340" w:type="dxa"/>
          </w:tcPr>
          <w:p>
            <w:pPr>
              <w:spacing w:after="0"/>
            </w:pPr>
            <w:r>
              <w:rPr>
                <w:rFonts w:ascii="Consolas" w:hAnsi="Consolas"/>
              </w:rPr>
              <w:t xml:space="preserve">25</w:t>
            </w:r>
          </w:p>
        </w:tc>
        <w:tc>
          <w:tcPr>
            <w:tcW w:w="2340" w:type="dxa"/>
          </w:tcPr>
          <w:p>
            <w:pPr>
              <w:spacing w:after="0"/>
            </w:pPr>
            <w:r>
              <w:t xml:space="preserve">ok</w:t>
            </w:r>
          </w:p>
        </w:tc>
      </w:tr>
      <w:tr>
        <w:tc>
          <w:tcPr>
            <w:tcW w:w="2340" w:type="dxa"/>
          </w:tcPr>
          <w:p>
            <w:pPr>
              <w:spacing w:after="0"/>
            </w:pPr>
            <w:r>
              <w:t xml:space="preserve">five-condition raters</w:t>
            </w:r>
          </w:p>
        </w:tc>
        <w:tc>
          <w:tcPr>
            <w:tcW w:w="2340" w:type="dxa"/>
          </w:tcPr>
          <w:p>
            <w:pPr>
              <w:spacing w:after="0"/>
            </w:pPr>
            <w:r>
              <w:rPr>
                <w:rFonts w:ascii="Consolas" w:hAnsi="Consolas"/>
              </w:rPr>
              <w:t xml:space="preserve">22</w:t>
            </w:r>
          </w:p>
        </w:tc>
        <w:tc>
          <w:tcPr>
            <w:tcW w:w="2340" w:type="dxa"/>
          </w:tcPr>
          <w:p>
            <w:pPr>
              <w:spacing w:after="0"/>
            </w:pPr>
            <w:r>
              <w:rPr>
                <w:rFonts w:ascii="Consolas" w:hAnsi="Consolas"/>
              </w:rPr>
              <w:t xml:space="preserve">22</w:t>
            </w:r>
          </w:p>
        </w:tc>
        <w:tc>
          <w:tcPr>
            <w:tcW w:w="2340" w:type="dxa"/>
          </w:tcPr>
          <w:p>
            <w:pPr>
              <w:spacing w:after="0"/>
            </w:pPr>
            <w:r>
              <w:t xml:space="preserve">ok</w:t>
            </w:r>
          </w:p>
        </w:tc>
      </w:tr>
      <w:tr>
        <w:tc>
          <w:tcPr>
            <w:tcW w:w="2340" w:type="dxa"/>
          </w:tcPr>
          <w:p>
            <w:pPr>
              <w:spacing w:after="0"/>
            </w:pPr>
            <w:r>
              <w:t xml:space="preserve">invited experts</w:t>
            </w:r>
          </w:p>
        </w:tc>
        <w:tc>
          <w:tcPr>
            <w:tcW w:w="2340" w:type="dxa"/>
          </w:tcPr>
          <w:p>
            <w:pPr>
              <w:spacing w:after="0"/>
            </w:pPr>
            <w:r>
              <w:rPr>
                <w:rFonts w:ascii="Consolas" w:hAnsi="Consolas"/>
              </w:rPr>
              <w:t xml:space="preserve">8</w:t>
            </w:r>
          </w:p>
        </w:tc>
        <w:tc>
          <w:tcPr>
            <w:tcW w:w="2340" w:type="dxa"/>
          </w:tcPr>
          <w:p>
            <w:pPr>
              <w:spacing w:after="0"/>
            </w:pPr>
            <w:r>
              <w:rPr>
                <w:rFonts w:ascii="Consolas" w:hAnsi="Consolas"/>
              </w:rPr>
              <w:t xml:space="preserve">8</w:t>
            </w:r>
          </w:p>
        </w:tc>
        <w:tc>
          <w:tcPr>
            <w:tcW w:w="2340" w:type="dxa"/>
          </w:tcPr>
          <w:p>
            <w:pPr>
              <w:spacing w:after="0"/>
            </w:pPr>
            <w:r>
              <w:t xml:space="preserve">ok</w:t>
            </w:r>
          </w:p>
        </w:tc>
      </w:tr>
      <w:tr>
        <w:tc>
          <w:tcPr>
            <w:tcW w:w="2340" w:type="dxa"/>
          </w:tcPr>
          <w:p>
            <w:pPr>
              <w:spacing w:after="0"/>
            </w:pPr>
            <w:r>
              <w:t xml:space="preserve">regular reviewers</w:t>
            </w:r>
          </w:p>
        </w:tc>
        <w:tc>
          <w:tcPr>
            <w:tcW w:w="2340" w:type="dxa"/>
          </w:tcPr>
          <w:p>
            <w:pPr>
              <w:spacing w:after="0"/>
            </w:pPr>
            <w:r>
              <w:rPr>
                <w:rFonts w:ascii="Consolas" w:hAnsi="Consolas"/>
              </w:rPr>
              <w:t xml:space="preserve">17</w:t>
            </w:r>
          </w:p>
        </w:tc>
        <w:tc>
          <w:tcPr>
            <w:tcW w:w="2340" w:type="dxa"/>
          </w:tcPr>
          <w:p>
            <w:pPr>
              <w:spacing w:after="0"/>
            </w:pPr>
            <w:r>
              <w:rPr>
                <w:rFonts w:ascii="Consolas" w:hAnsi="Consolas"/>
              </w:rPr>
              <w:t xml:space="preserve">17</w:t>
            </w:r>
          </w:p>
        </w:tc>
        <w:tc>
          <w:tcPr>
            <w:tcW w:w="2340" w:type="dxa"/>
          </w:tcPr>
          <w:p>
            <w:pPr>
              <w:spacing w:after="0"/>
            </w:pPr>
            <w:r>
              <w:t xml:space="preserve">ok</w:t>
            </w:r>
          </w:p>
        </w:tc>
      </w:tr>
      <w:tr>
        <w:tc>
          <w:tcPr>
            <w:tcW w:w="2340" w:type="dxa"/>
          </w:tcPr>
          <w:p>
            <w:pPr>
              <w:spacing w:after="0"/>
            </w:pPr>
            <w:r>
              <w:t xml:space="preserve">baseline-only reviewers</w:t>
            </w:r>
          </w:p>
        </w:tc>
        <w:tc>
          <w:tcPr>
            <w:tcW w:w="2340" w:type="dxa"/>
          </w:tcPr>
          <w:p>
            <w:pPr>
              <w:spacing w:after="0"/>
            </w:pPr>
            <w:r>
              <w:rPr>
                <w:rFonts w:ascii="Consolas" w:hAnsi="Consolas"/>
              </w:rPr>
              <w:t xml:space="preserve">3</w:t>
            </w:r>
          </w:p>
        </w:tc>
        <w:tc>
          <w:tcPr>
            <w:tcW w:w="2340" w:type="dxa"/>
          </w:tcPr>
          <w:p>
            <w:pPr>
              <w:spacing w:after="0"/>
            </w:pPr>
            <w:r>
              <w:rPr>
                <w:rFonts w:ascii="Consolas" w:hAnsi="Consolas"/>
              </w:rPr>
              <w:t xml:space="preserve">3</w:t>
            </w:r>
          </w:p>
        </w:tc>
        <w:tc>
          <w:tcPr>
            <w:tcW w:w="2340" w:type="dxa"/>
          </w:tcPr>
          <w:p>
            <w:pPr>
              <w:spacing w:after="0"/>
            </w:pPr>
            <w:r>
              <w:t xml:space="preserve">ok</w:t>
            </w:r>
          </w:p>
        </w:tc>
      </w:tr>
      <w:tr>
        <w:tc>
          <w:tcPr>
            <w:tcW w:w="2340" w:type="dxa"/>
          </w:tcPr>
          <w:p>
            <w:pPr>
              <w:spacing w:after="0"/>
            </w:pPr>
            <w:r>
              <w:t xml:space="preserve">records with a label</w:t>
            </w:r>
          </w:p>
        </w:tc>
        <w:tc>
          <w:tcPr>
            <w:tcW w:w="2340" w:type="dxa"/>
          </w:tcPr>
          <w:p>
            <w:pPr>
              <w:spacing w:after="0"/>
            </w:pPr>
            <w:r>
              <w:rPr>
                <w:rFonts w:ascii="Consolas" w:hAnsi="Consolas"/>
              </w:rPr>
              <w:t xml:space="preserve">15</w:t>
            </w:r>
          </w:p>
        </w:tc>
        <w:tc>
          <w:tcPr>
            <w:tcW w:w="2340" w:type="dxa"/>
          </w:tcPr>
          <w:p>
            <w:pPr>
              <w:spacing w:after="0"/>
            </w:pPr>
            <w:r>
              <w:rPr>
                <w:rFonts w:ascii="Consolas" w:hAnsi="Consolas"/>
              </w:rPr>
              <w:t xml:space="preserve">15</w:t>
            </w:r>
          </w:p>
        </w:tc>
        <w:tc>
          <w:tcPr>
            <w:tcW w:w="2340" w:type="dxa"/>
          </w:tcPr>
          <w:p>
            <w:pPr>
              <w:spacing w:after="0"/>
            </w:pPr>
            <w:r>
              <w:t xml:space="preserve">ok</w:t>
            </w:r>
          </w:p>
        </w:tc>
      </w:tr>
      <w:tr>
        <w:tc>
          <w:tcPr>
            <w:tcW w:w="2340" w:type="dxa"/>
          </w:tcPr>
          <w:p>
            <w:pPr>
              <w:spacing w:after="0"/>
            </w:pPr>
            <w:r>
              <w:t xml:space="preserve">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submitted determinations</w:t>
            </w:r>
          </w:p>
        </w:tc>
        <w:tc>
          <w:tcPr>
            <w:tcW w:w="2340" w:type="dxa"/>
          </w:tcPr>
          <w:p>
            <w:pPr>
              <w:spacing w:after="0"/>
            </w:pPr>
            <w:r>
              <w:rPr>
                <w:rFonts w:ascii="Consolas" w:hAnsi="Consolas"/>
              </w:rPr>
              <w:t xml:space="preserve">113</w:t>
            </w:r>
          </w:p>
        </w:tc>
        <w:tc>
          <w:tcPr>
            <w:tcW w:w="2340" w:type="dxa"/>
          </w:tcPr>
          <w:p>
            <w:pPr>
              <w:spacing w:after="0"/>
            </w:pPr>
            <w:r>
              <w:rPr>
                <w:rFonts w:ascii="Consolas" w:hAnsi="Consolas"/>
              </w:rPr>
              <w:t xml:space="preserve">113</w:t>
            </w:r>
          </w:p>
        </w:tc>
        <w:tc>
          <w:tcPr>
            <w:tcW w:w="2340" w:type="dxa"/>
          </w:tcPr>
          <w:p>
            <w:pPr>
              <w:spacing w:after="0"/>
            </w:pPr>
            <w:r>
              <w:t xml:space="preserve">ok</w:t>
            </w:r>
          </w:p>
        </w:tc>
      </w:tr>
      <w:tr>
        <w:tc>
          <w:tcPr>
            <w:tcW w:w="2340" w:type="dxa"/>
          </w:tcPr>
          <w:p>
            <w:pPr>
              <w:spacing w:after="0"/>
            </w:pPr>
            <w:r>
              <w:t xml:space="preserve">retained determinations</w:t>
            </w:r>
          </w:p>
        </w:tc>
        <w:tc>
          <w:tcPr>
            <w:tcW w:w="2340" w:type="dxa"/>
          </w:tcPr>
          <w:p>
            <w:pPr>
              <w:spacing w:after="0"/>
            </w:pPr>
            <w:r>
              <w:rPr>
                <w:rFonts w:ascii="Consolas" w:hAnsi="Consolas"/>
              </w:rPr>
              <w:t xml:space="preserve">104</w:t>
            </w:r>
          </w:p>
        </w:tc>
        <w:tc>
          <w:tcPr>
            <w:tcW w:w="2340" w:type="dxa"/>
          </w:tcPr>
          <w:p>
            <w:pPr>
              <w:spacing w:after="0"/>
            </w:pPr>
            <w:r>
              <w:rPr>
                <w:rFonts w:ascii="Consolas" w:hAnsi="Consolas"/>
              </w:rPr>
              <w:t xml:space="preserve">104</w:t>
            </w:r>
          </w:p>
        </w:tc>
        <w:tc>
          <w:tcPr>
            <w:tcW w:w="2340" w:type="dxa"/>
          </w:tcPr>
          <w:p>
            <w:pPr>
              <w:spacing w:after="0"/>
            </w:pPr>
            <w:r>
              <w:t xml:space="preserve">ok</w:t>
            </w:r>
          </w:p>
        </w:tc>
      </w:tr>
    </w:tbl>
    <w:p>
      <w:pPr/>
      <w:r>
        <w:t/>
      </w:r>
    </w:p>
    <w:p>
      <w:pPr>
        <w:spacing w:after="140"/>
      </w:pPr>
      <w:r>
        <w:rPr>
          <w:b/>
        </w:rPr>
        <w:t xml:space="preserve">Statistical gate: PASS.</w:t>
      </w:r>
      <w:r>
        <w:t xml:space="preserve"> No reported result was changed.</w:t>
      </w:r>
    </w:p>
    <w:p>
      <w:pPr>
        <w:pBdr>
          <w:bottom w:val="single" w:sz="6" w:space="1" w:color="AAAAAA"/>
        </w:pBdr>
      </w:pPr>
    </w:p>
    <w:p>
      <w:pPr>
        <w:pStyle w:val="Heading2"/>
        <w:spacing w:after="140"/>
      </w:pPr>
      <w:r>
        <w:t xml:space="preserve">4. Preservation constraints</w:t>
      </w:r>
    </w:p>
    <w:p>
      <w:pPr>
        <w:pStyle w:val="Heading3"/>
        <w:spacing w:after="140"/>
      </w:pPr>
      <w:r>
        <w:t xml:space="preserve">Correction 2. Arm A expert status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panel size</w:t>
            </w:r>
          </w:p>
        </w:tc>
        <w:tc>
          <w:tcPr>
            <w:tcW w:w="4680" w:type="dxa"/>
          </w:tcPr>
          <w:p>
            <w:pPr>
              <w:spacing w:after="0"/>
            </w:pPr>
            <w:r>
              <w:t xml:space="preserve">yes</w:t>
            </w:r>
          </w:p>
        </w:tc>
      </w:tr>
      <w:tr>
        <w:tc>
          <w:tcPr>
            <w:tcW w:w="4680" w:type="dxa"/>
          </w:tcPr>
          <w:p>
            <w:pPr>
              <w:spacing w:after="0"/>
            </w:pPr>
            <w:r>
              <w:t xml:space="preserve">expert eligibility</w:t>
            </w:r>
          </w:p>
        </w:tc>
        <w:tc>
          <w:tcPr>
            <w:tcW w:w="4680" w:type="dxa"/>
          </w:tcPr>
          <w:p>
            <w:pPr>
              <w:spacing w:after="0"/>
            </w:pPr>
            <w:r>
              <w:t xml:space="preserve">yes</w:t>
            </w:r>
          </w:p>
        </w:tc>
      </w:tr>
      <w:tr>
        <w:tc>
          <w:tcPr>
            <w:tcW w:w="4680" w:type="dxa"/>
          </w:tcPr>
          <w:p>
            <w:pPr>
              <w:spacing w:after="0"/>
            </w:pPr>
            <w:r>
              <w:t xml:space="preserve">recruitment is not sampling</w:t>
            </w:r>
          </w:p>
        </w:tc>
        <w:tc>
          <w:tcPr>
            <w:tcW w:w="4680" w:type="dxa"/>
          </w:tcPr>
          <w:p>
            <w:pPr>
              <w:spacing w:after="0"/>
            </w:pPr>
            <w:r>
              <w:t xml:space="preserve">yes</w:t>
            </w:r>
          </w:p>
        </w:tc>
      </w:tr>
    </w:tbl>
    <w:p>
      <w:pPr/>
      <w:r>
        <w:t/>
      </w:r>
    </w:p>
    <w:p>
      <w:pPr>
        <w:pStyle w:val="Heading3"/>
        <w:spacing w:after="140"/>
      </w:pPr>
      <w:r>
        <w:t xml:space="preserve">Correction 5. Arm A / Arm B distinction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JRS-naive is exposure, not expertise</w:t>
            </w:r>
          </w:p>
        </w:tc>
        <w:tc>
          <w:tcPr>
            <w:tcW w:w="4680" w:type="dxa"/>
          </w:tcPr>
          <w:p>
            <w:pPr>
              <w:spacing w:after="0"/>
            </w:pPr>
            <w:r>
              <w:t xml:space="preserve">yes</w:t>
            </w:r>
          </w:p>
        </w:tc>
      </w:tr>
      <w:tr>
        <w:tc>
          <w:tcPr>
            <w:tcW w:w="4680" w:type="dxa"/>
          </w:tcPr>
          <w:p>
            <w:pPr>
              <w:spacing w:after="0"/>
            </w:pPr>
            <w:r>
              <w:t xml:space="preserve">comparison is a different question</w:t>
            </w:r>
          </w:p>
        </w:tc>
        <w:tc>
          <w:tcPr>
            <w:tcW w:w="4680" w:type="dxa"/>
          </w:tcPr>
          <w:p>
            <w:pPr>
              <w:spacing w:after="0"/>
            </w:pPr>
            <w:r>
              <w:t xml:space="preserve">yes</w:t>
            </w:r>
          </w:p>
        </w:tc>
      </w:tr>
      <w:tr>
        <w:tc>
          <w:tcPr>
            <w:tcW w:w="4680" w:type="dxa"/>
          </w:tcPr>
          <w:p>
            <w:pPr>
              <w:spacing w:after="0"/>
            </w:pPr>
            <w:r>
              <w:t xml:space="preserve">comparison-study credit</w:t>
            </w:r>
          </w:p>
        </w:tc>
        <w:tc>
          <w:tcPr>
            <w:tcW w:w="4680" w:type="dxa"/>
          </w:tcPr>
          <w:p>
            <w:pPr>
              <w:spacing w:after="0"/>
            </w:pPr>
            <w:r>
              <w:t xml:space="preserve">yes</w:t>
            </w:r>
          </w:p>
        </w:tc>
      </w:tr>
    </w:tbl>
    <w:p>
      <w:pPr/>
      <w:r>
        <w:t/>
      </w:r>
    </w:p>
    <w:p>
      <w:pPr>
        <w:pStyle w:val="Heading3"/>
        <w:spacing w:after="140"/>
      </w:pPr>
      <w:r>
        <w:t xml:space="preserve">Correction 9.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panel size</w:t>
            </w:r>
          </w:p>
        </w:tc>
        <w:tc>
          <w:tcPr>
            <w:tcW w:w="4680" w:type="dxa"/>
          </w:tcPr>
          <w:p>
            <w:pPr>
              <w:spacing w:after="0"/>
            </w:pPr>
            <w:r>
              <w:t xml:space="preserve">yes</w:t>
            </w:r>
          </w:p>
        </w:tc>
      </w:tr>
      <w:tr>
        <w:tc>
          <w:tcPr>
            <w:tcW w:w="4680" w:type="dxa"/>
          </w:tcPr>
          <w:p>
            <w:pPr>
              <w:spacing w:after="0"/>
            </w:pPr>
            <w:r>
              <w:t xml:space="preserve">countries</w:t>
            </w:r>
          </w:p>
        </w:tc>
        <w:tc>
          <w:tcPr>
            <w:tcW w:w="4680" w:type="dxa"/>
          </w:tcPr>
          <w:p>
            <w:pPr>
              <w:spacing w:after="0"/>
            </w:pPr>
            <w:r>
              <w:t xml:space="preserve">yes</w:t>
            </w:r>
          </w:p>
        </w:tc>
      </w:tr>
      <w:tr>
        <w:tc>
          <w:tcPr>
            <w:tcW w:w="4680" w:type="dxa"/>
          </w:tcPr>
          <w:p>
            <w:pPr>
              <w:spacing w:after="0"/>
            </w:pPr>
            <w:r>
              <w:t xml:space="preserve">continents</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graded judgments</w:t>
            </w:r>
          </w:p>
        </w:tc>
        <w:tc>
          <w:tcPr>
            <w:tcW w:w="4680" w:type="dxa"/>
          </w:tcPr>
          <w:p>
            <w:pPr>
              <w:spacing w:after="0"/>
            </w:pPr>
            <w:r>
              <w:t xml:space="preserve">yes</w:t>
            </w:r>
          </w:p>
        </w:tc>
      </w:tr>
      <w:tr>
        <w:tc>
          <w:tcPr>
            <w:tcW w:w="4680" w:type="dxa"/>
          </w:tcPr>
          <w:p>
            <w:pPr>
              <w:spacing w:after="0"/>
            </w:pPr>
            <w:r>
              <w:t xml:space="preserve">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point threshold</w:t>
            </w:r>
          </w:p>
        </w:tc>
        <w:tc>
          <w:tcPr>
            <w:tcW w:w="4680" w:type="dxa"/>
          </w:tcPr>
          <w:p>
            <w:pPr>
              <w:spacing w:after="0"/>
            </w:pPr>
            <w:r>
              <w:t xml:space="preserve">yes</w:t>
            </w:r>
          </w:p>
        </w:tc>
      </w:tr>
      <w:tr>
        <w:tc>
          <w:tcPr>
            <w:tcW w:w="4680" w:type="dxa"/>
          </w:tcPr>
          <w:p>
            <w:pPr>
              <w:spacing w:after="0"/>
            </w:pPr>
            <w:r>
              <w:t xml:space="preserve">lower-bound threshold</w:t>
            </w:r>
          </w:p>
        </w:tc>
        <w:tc>
          <w:tcPr>
            <w:tcW w:w="4680" w:type="dxa"/>
          </w:tcPr>
          <w:p>
            <w:pPr>
              <w:spacing w:after="0"/>
            </w:pPr>
            <w:r>
              <w:t xml:space="preserve">yes</w:t>
            </w:r>
          </w:p>
        </w:tc>
      </w:tr>
    </w:tbl>
    <w:p>
      <w:pPr/>
      <w:r>
        <w:t/>
      </w:r>
    </w:p>
    <w:p>
      <w:pPr>
        <w:pStyle w:val="Heading3"/>
        <w:spacing w:after="140"/>
      </w:pPr>
      <w:r>
        <w:t xml:space="preserve">Correction 10. Reliability results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expert row</w:t>
            </w:r>
          </w:p>
        </w:tc>
        <w:tc>
          <w:tcPr>
            <w:tcW w:w="4680" w:type="dxa"/>
          </w:tcPr>
          <w:p>
            <w:pPr>
              <w:spacing w:after="0"/>
            </w:pPr>
            <w:r>
              <w:t xml:space="preserve">yes</w:t>
            </w:r>
          </w:p>
        </w:tc>
      </w:tr>
      <w:tr>
        <w:tc>
          <w:tcPr>
            <w:tcW w:w="4680" w:type="dxa"/>
          </w:tcPr>
          <w:p>
            <w:pPr>
              <w:spacing w:after="0"/>
            </w:pPr>
            <w:r>
              <w:t xml:space="preserve">regular row</w:t>
            </w:r>
          </w:p>
        </w:tc>
        <w:tc>
          <w:tcPr>
            <w:tcW w:w="4680" w:type="dxa"/>
          </w:tcPr>
          <w:p>
            <w:pPr>
              <w:spacing w:after="0"/>
            </w:pPr>
            <w:r>
              <w:t xml:space="preserve">yes</w:t>
            </w:r>
          </w:p>
        </w:tc>
      </w:tr>
      <w:tr>
        <w:tc>
          <w:tcPr>
            <w:tcW w:w="4680" w:type="dxa"/>
          </w:tcPr>
          <w:p>
            <w:pPr>
              <w:spacing w:after="0"/>
            </w:pPr>
            <w:r>
              <w:t xml:space="preserve">criterion not met</w:t>
            </w:r>
          </w:p>
        </w:tc>
        <w:tc>
          <w:tcPr>
            <w:tcW w:w="4680" w:type="dxa"/>
          </w:tcPr>
          <w:p>
            <w:pPr>
              <w:spacing w:after="0"/>
            </w:pPr>
            <w:r>
              <w:t xml:space="preserve">yes</w:t>
            </w:r>
          </w:p>
        </w:tc>
      </w:tr>
      <w:tr>
        <w:tc>
          <w:tcPr>
            <w:tcW w:w="4680" w:type="dxa"/>
          </w:tcPr>
          <w:p>
            <w:pPr>
              <w:spacing w:after="0"/>
            </w:pPr>
            <w:r>
              <w:t xml:space="preserve">analytic is the specified interval</w:t>
            </w:r>
          </w:p>
        </w:tc>
        <w:tc>
          <w:tcPr>
            <w:tcW w:w="4680" w:type="dxa"/>
          </w:tcPr>
          <w:p>
            <w:pPr>
              <w:spacing w:after="0"/>
            </w:pPr>
            <w:r>
              <w:t xml:space="preserve">yes</w:t>
            </w:r>
          </w:p>
        </w:tc>
      </w:tr>
      <w:tr>
        <w:tc>
          <w:tcPr>
            <w:tcW w:w="4680" w:type="dxa"/>
          </w:tcPr>
          <w:p>
            <w:pPr>
              <w:spacing w:after="0"/>
            </w:pPr>
            <w:r>
              <w:t xml:space="preserve">bootstrap not used to claim a pass</w:t>
            </w:r>
          </w:p>
        </w:tc>
        <w:tc>
          <w:tcPr>
            <w:tcW w:w="4680" w:type="dxa"/>
          </w:tcPr>
          <w:p>
            <w:pPr>
              <w:spacing w:after="0"/>
            </w:pPr>
            <w:r>
              <w:t xml:space="preserve">yes</w:t>
            </w:r>
          </w:p>
        </w:tc>
      </w:tr>
      <w:tr>
        <w:tc>
          <w:tcPr>
            <w:tcW w:w="4680" w:type="dxa"/>
          </w:tcPr>
          <w:p>
            <w:pPr>
              <w:spacing w:after="0"/>
            </w:pPr>
            <w:r>
              <w:t xml:space="preserve">25 to 22 accounting</w:t>
            </w:r>
          </w:p>
        </w:tc>
        <w:tc>
          <w:tcPr>
            <w:tcW w:w="4680" w:type="dxa"/>
          </w:tcPr>
          <w:p>
            <w:pPr>
              <w:spacing w:after="0"/>
            </w:pPr>
            <w:r>
              <w:t xml:space="preserve">yes</w:t>
            </w:r>
          </w:p>
        </w:tc>
      </w:tr>
      <w:tr>
        <w:tc>
          <w:tcPr>
            <w:tcW w:w="4680" w:type="dxa"/>
          </w:tcPr>
          <w:p>
            <w:pPr>
              <w:spacing w:after="0"/>
            </w:pPr>
            <w:r>
              <w:t xml:space="preserve">baseline-only three</w:t>
            </w:r>
          </w:p>
        </w:tc>
        <w:tc>
          <w:tcPr>
            <w:tcW w:w="4680" w:type="dxa"/>
          </w:tcPr>
          <w:p>
            <w:pPr>
              <w:spacing w:after="0"/>
            </w:pPr>
            <w:r>
              <w:t xml:space="preserve">yes</w:t>
            </w:r>
          </w:p>
        </w:tc>
      </w:tr>
      <w:tr>
        <w:tc>
          <w:tcPr>
            <w:tcW w:w="4680" w:type="dxa"/>
          </w:tcPr>
          <w:p>
            <w:pPr>
              <w:spacing w:after="0"/>
            </w:pPr>
            <w:r>
              <w:t xml:space="preserve">15 records</w:t>
            </w:r>
          </w:p>
        </w:tc>
        <w:tc>
          <w:tcPr>
            <w:tcW w:w="4680" w:type="dxa"/>
          </w:tcPr>
          <w:p>
            <w:pPr>
              <w:spacing w:after="0"/>
            </w:pPr>
            <w:r>
              <w:t xml:space="preserve">yes</w:t>
            </w:r>
          </w:p>
        </w:tc>
      </w:tr>
      <w:tr>
        <w:tc>
          <w:tcPr>
            <w:tcW w:w="4680" w:type="dxa"/>
          </w:tcPr>
          <w:p>
            <w:pPr>
              <w:spacing w:after="0"/>
            </w:pPr>
            <w:r>
              <w:t xml:space="preserve">10 estimable</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bl>
    <w:p>
      <w:pPr/>
      <w:r>
        <w:t/>
      </w:r>
    </w:p>
    <w:p>
      <w:pPr>
        <w:pStyle w:val="Heading3"/>
        <w:spacing w:after="140"/>
      </w:pPr>
      <w:r>
        <w:t xml:space="preserve">Correction 11. Regular-reviewer terminology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invited experts</w:t>
            </w:r>
          </w:p>
        </w:tc>
        <w:tc>
          <w:tcPr>
            <w:tcW w:w="4680" w:type="dxa"/>
          </w:tcPr>
          <w:p>
            <w:pPr>
              <w:spacing w:after="0"/>
            </w:pPr>
            <w:r>
              <w:t xml:space="preserve">yes</w:t>
            </w:r>
          </w:p>
        </w:tc>
      </w:tr>
      <w:tr>
        <w:tc>
          <w:tcPr>
            <w:tcW w:w="4680" w:type="dxa"/>
          </w:tcPr>
          <w:p>
            <w:pPr>
              <w:spacing w:after="0"/>
            </w:pPr>
            <w:r>
              <w:t xml:space="preserve">open review page</w:t>
            </w:r>
          </w:p>
        </w:tc>
        <w:tc>
          <w:tcPr>
            <w:tcW w:w="4680" w:type="dxa"/>
          </w:tcPr>
          <w:p>
            <w:pPr>
              <w:spacing w:after="0"/>
            </w:pPr>
            <w:r>
              <w:t xml:space="preserve">yes</w:t>
            </w:r>
          </w:p>
        </w:tc>
      </w:tr>
      <w:tr>
        <w:tc>
          <w:tcPr>
            <w:tcW w:w="4680" w:type="dxa"/>
          </w:tcPr>
          <w:p>
            <w:pPr>
              <w:spacing w:after="0"/>
            </w:pPr>
            <w:r>
              <w:t xml:space="preserve">recruitment channel, not expertise</w:t>
            </w:r>
          </w:p>
        </w:tc>
        <w:tc>
          <w:tcPr>
            <w:tcW w:w="4680" w:type="dxa"/>
          </w:tcPr>
          <w:p>
            <w:pPr>
              <w:spacing w:after="0"/>
            </w:pPr>
            <w:r>
              <w:t xml:space="preserve">yes</w:t>
            </w:r>
          </w:p>
        </w:tc>
      </w:tr>
    </w:tbl>
    <w:p>
      <w:pPr/>
      <w:r>
        <w:t/>
      </w:r>
    </w:p>
    <w:p>
      <w:pPr>
        <w:pStyle w:val="Heading3"/>
        <w:spacing w:after="140"/>
      </w:pPr>
      <w:r>
        <w:t xml:space="preserve">Correction 12. Detection / reliability separation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conclusion sentence</w:t>
            </w:r>
          </w:p>
        </w:tc>
        <w:tc>
          <w:tcPr>
            <w:tcW w:w="4680" w:type="dxa"/>
          </w:tcPr>
          <w:p>
            <w:pPr>
              <w:spacing w:after="0"/>
            </w:pPr>
            <w:r>
              <w:t xml:space="preserve">yes</w:t>
            </w:r>
          </w:p>
        </w:tc>
      </w:tr>
    </w:tbl>
    <w:p>
      <w:pPr/>
      <w:r>
        <w:t/>
      </w:r>
    </w:p>
    <w:p>
      <w:pPr>
        <w:pStyle w:val="Heading3"/>
        <w:spacing w:after="140"/>
      </w:pPr>
      <w:r>
        <w:t xml:space="preserve">Correction 13. JRS claim 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feasibility not efficacy</w:t>
            </w:r>
          </w:p>
        </w:tc>
        <w:tc>
          <w:tcPr>
            <w:tcW w:w="4680" w:type="dxa"/>
          </w:tcPr>
          <w:p>
            <w:pPr>
              <w:spacing w:after="0"/>
            </w:pPr>
            <w:r>
              <w:t xml:space="preserve">yes</w:t>
            </w:r>
          </w:p>
        </w:tc>
      </w:tr>
      <w:tr>
        <w:tc>
          <w:tcPr>
            <w:tcW w:w="4680" w:type="dxa"/>
          </w:tcPr>
          <w:p>
            <w:pPr>
              <w:spacing w:after="0"/>
            </w:pPr>
            <w:r>
              <w:t xml:space="preserve">no criterion validity or efficacy</w:t>
            </w:r>
          </w:p>
        </w:tc>
        <w:tc>
          <w:tcPr>
            <w:tcW w:w="4680" w:type="dxa"/>
          </w:tcPr>
          <w:p>
            <w:pPr>
              <w:spacing w:after="0"/>
            </w:pPr>
            <w:r>
              <w:t xml:space="preserve">yes</w:t>
            </w:r>
          </w:p>
        </w:tc>
      </w:tr>
    </w:tbl>
    <w:p>
      <w:pPr/>
      <w:r>
        <w:t/>
      </w:r>
    </w:p>
    <w:p>
      <w:pPr>
        <w:pStyle w:val="Heading3"/>
        <w:spacing w:after="140"/>
      </w:pPr>
      <w:r>
        <w:t xml:space="preserve">Correction 14. DRR claim 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abstract disclaimer</w:t>
            </w:r>
          </w:p>
        </w:tc>
        <w:tc>
          <w:tcPr>
            <w:tcW w:w="4680" w:type="dxa"/>
          </w:tcPr>
          <w:p>
            <w:pPr>
              <w:spacing w:after="0"/>
            </w:pPr>
            <w:r>
              <w:t xml:space="preserve">yes</w:t>
            </w:r>
          </w:p>
        </w:tc>
      </w:tr>
      <w:tr>
        <w:tc>
          <w:tcPr>
            <w:tcW w:w="4680" w:type="dxa"/>
          </w:tcPr>
          <w:p>
            <w:pPr>
              <w:spacing w:after="0"/>
            </w:pPr>
            <w:r>
              <w:t xml:space="preserve">cross-cultural</w:t>
            </w:r>
          </w:p>
        </w:tc>
        <w:tc>
          <w:tcPr>
            <w:tcW w:w="4680" w:type="dxa"/>
          </w:tcPr>
          <w:p>
            <w:pPr>
              <w:spacing w:after="0"/>
            </w:pPr>
            <w:r>
              <w:t xml:space="preserve">yes</w:t>
            </w:r>
          </w:p>
        </w:tc>
      </w:tr>
      <w:tr>
        <w:tc>
          <w:tcPr>
            <w:tcW w:w="4680" w:type="dxa"/>
          </w:tcPr>
          <w:p>
            <w:pPr>
              <w:spacing w:after="0"/>
            </w:pPr>
            <w:r>
              <w:t xml:space="preserve">workflow independence</w:t>
            </w:r>
          </w:p>
        </w:tc>
        <w:tc>
          <w:tcPr>
            <w:tcW w:w="4680" w:type="dxa"/>
          </w:tcPr>
          <w:p>
            <w:pPr>
              <w:spacing w:after="0"/>
            </w:pPr>
            <w:r>
              <w:t xml:space="preserve">yes</w:t>
            </w:r>
          </w:p>
        </w:tc>
      </w:tr>
      <w:tr>
        <w:tc>
          <w:tcPr>
            <w:tcW w:w="4680" w:type="dxa"/>
          </w:tcPr>
          <w:p>
            <w:pPr>
              <w:spacing w:after="0"/>
            </w:pPr>
            <w:r>
              <w:t xml:space="preserve">psychometric</w:t>
            </w:r>
          </w:p>
        </w:tc>
        <w:tc>
          <w:tcPr>
            <w:tcW w:w="4680" w:type="dxa"/>
          </w:tcPr>
          <w:p>
            <w:pPr>
              <w:spacing w:after="0"/>
            </w:pPr>
            <w:r>
              <w:t xml:space="preserve">yes</w:t>
            </w:r>
          </w:p>
        </w:tc>
      </w:tr>
    </w:tbl>
    <w:p>
      <w:pPr/>
      <w:r>
        <w:t/>
      </w:r>
    </w:p>
    <w:p>
      <w:pPr>
        <w:pStyle w:val="Heading3"/>
        <w:spacing w:after="140"/>
      </w:pPr>
      <w:r>
        <w:t xml:space="preserve">Correction 15. Limitations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bimodal spectrum</w:t>
            </w:r>
          </w:p>
        </w:tc>
        <w:tc>
          <w:tcPr>
            <w:tcW w:w="4680" w:type="dxa"/>
          </w:tcPr>
          <w:p>
            <w:pPr>
              <w:spacing w:after="0"/>
            </w:pPr>
            <w:r>
              <w:t xml:space="preserve">yes</w:t>
            </w:r>
          </w:p>
        </w:tc>
      </w:tr>
      <w:tr>
        <w:tc>
          <w:tcPr>
            <w:tcW w:w="4680" w:type="dxa"/>
          </w:tcPr>
          <w:p>
            <w:pPr>
              <w:spacing w:after="0"/>
            </w:pPr>
            <w:r>
              <w:t xml:space="preserve">item variance</w:t>
            </w:r>
          </w:p>
        </w:tc>
        <w:tc>
          <w:tcPr>
            <w:tcW w:w="4680" w:type="dxa"/>
          </w:tcPr>
          <w:p>
            <w:pPr>
              <w:spacing w:after="0"/>
            </w:pPr>
            <w:r>
              <w:t xml:space="preserve">yes</w:t>
            </w:r>
          </w:p>
        </w:tc>
      </w:tr>
      <w:tr>
        <w:tc>
          <w:tcPr>
            <w:tcW w:w="4680" w:type="dxa"/>
          </w:tcPr>
          <w:p>
            <w:pPr>
              <w:spacing w:after="0"/>
            </w:pPr>
            <w:r>
              <w:t xml:space="preserve">investigator dependence</w:t>
            </w:r>
          </w:p>
        </w:tc>
        <w:tc>
          <w:tcPr>
            <w:tcW w:w="4680" w:type="dxa"/>
          </w:tcPr>
          <w:p>
            <w:pPr>
              <w:spacing w:after="0"/>
            </w:pPr>
            <w:r>
              <w:t xml:space="preserve">yes</w:t>
            </w:r>
          </w:p>
        </w:tc>
      </w:tr>
      <w:tr>
        <w:tc>
          <w:tcPr>
            <w:tcW w:w="4680" w:type="dxa"/>
          </w:tcPr>
          <w:p>
            <w:pPr>
              <w:spacing w:after="0"/>
            </w:pPr>
            <w:r>
              <w:t xml:space="preserve">interim reliability</w:t>
            </w:r>
          </w:p>
        </w:tc>
        <w:tc>
          <w:tcPr>
            <w:tcW w:w="4680" w:type="dxa"/>
          </w:tcPr>
          <w:p>
            <w:pPr>
              <w:spacing w:after="0"/>
            </w:pPr>
            <w:r>
              <w:t xml:space="preserve">yes</w:t>
            </w:r>
          </w:p>
        </w:tc>
      </w:tr>
      <w:tr>
        <w:tc>
          <w:tcPr>
            <w:tcW w:w="4680" w:type="dxa"/>
          </w:tcPr>
          <w:p>
            <w:pPr>
              <w:spacing w:after="0"/>
            </w:pPr>
            <w:r>
              <w:t xml:space="preserve">reliability too small</w:t>
            </w:r>
          </w:p>
        </w:tc>
        <w:tc>
          <w:tcPr>
            <w:tcW w:w="4680" w:type="dxa"/>
          </w:tcPr>
          <w:p>
            <w:pPr>
              <w:spacing w:after="0"/>
            </w:pPr>
            <w:r>
              <w:t xml:space="preserve">yes</w:t>
            </w:r>
          </w:p>
        </w:tc>
      </w:tr>
      <w:tr>
        <w:tc>
          <w:tcPr>
            <w:tcW w:w="4680" w:type="dxa"/>
          </w:tcPr>
          <w:p>
            <w:pPr>
              <w:spacing w:after="0"/>
            </w:pPr>
            <w:r>
              <w:t xml:space="preserve">reviewer heterogeneity</w:t>
            </w:r>
          </w:p>
        </w:tc>
        <w:tc>
          <w:tcPr>
            <w:tcW w:w="4680" w:type="dxa"/>
          </w:tcPr>
          <w:p>
            <w:pPr>
              <w:spacing w:after="0"/>
            </w:pPr>
            <w:r>
              <w:t xml:space="preserve">yes</w:t>
            </w:r>
          </w:p>
        </w:tc>
      </w:tr>
      <w:tr>
        <w:tc>
          <w:tcPr>
            <w:tcW w:w="4680" w:type="dxa"/>
          </w:tcPr>
          <w:p>
            <w:pPr>
              <w:spacing w:after="0"/>
            </w:pPr>
            <w:r>
              <w:t xml:space="preserve">independent adjudicator</w:t>
            </w:r>
          </w:p>
        </w:tc>
        <w:tc>
          <w:tcPr>
            <w:tcW w:w="4680" w:type="dxa"/>
          </w:tcPr>
          <w:p>
            <w:pPr>
              <w:spacing w:after="0"/>
            </w:pPr>
            <w:r>
              <w:t xml:space="preserve">yes</w:t>
            </w:r>
          </w:p>
        </w:tc>
      </w:tr>
    </w:tbl>
    <w:p>
      <w:pPr/>
      <w:r>
        <w:t/>
      </w:r>
    </w:p>
    <w:p>
      <w:pPr>
        <w:pBdr>
          <w:bottom w:val="single" w:sz="6" w:space="1" w:color="AAAAAA"/>
        </w:pBdr>
      </w:pPr>
    </w:p>
    <w:p>
      <w:pPr>
        <w:pStyle w:val="Heading2"/>
        <w:spacing w:after="140"/>
      </w:pPr>
      <w:r>
        <w:t xml:space="preserve">5. Global terminology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Term</w:t>
            </w:r>
          </w:p>
        </w:tc>
        <w:tc>
          <w:tcPr>
            <w:tcW w:w="2340" w:type="dxa"/>
          </w:tcPr>
          <w:p>
            <w:pPr>
              <w:spacing w:after="0"/>
            </w:pPr>
            <w:r>
              <w:t xml:space="preserve">Occurrences</w:t>
            </w:r>
          </w:p>
        </w:tc>
        <w:tc>
          <w:tcPr>
            <w:tcW w:w="2340" w:type="dxa"/>
          </w:tcPr>
          <w:p>
            <w:pPr>
              <w:spacing w:after="0"/>
            </w:pPr>
            <w:r>
              <w:t xml:space="preserve">Required</w:t>
            </w:r>
          </w:p>
        </w:tc>
        <w:tc>
          <w:tcPr>
            <w:tcW w:w="2340" w:type="dxa"/>
          </w:tcPr>
          <w:p>
            <w:pPr>
              <w:spacing w:after="0"/>
            </w:pPr>
            <w:r>
              <w:t xml:space="preserve">Result</w:t>
            </w:r>
          </w:p>
        </w:tc>
      </w:tr>
      <w:tr>
        <w:tc>
          <w:tcPr>
            <w:tcW w:w="2340" w:type="dxa"/>
          </w:tcPr>
          <w:p>
            <w:pPr>
              <w:spacing w:after="0"/>
            </w:pPr>
            <w:r>
              <w:rPr>
                <w:rFonts w:ascii="Consolas" w:hAnsi="Consolas"/>
              </w:rPr>
              <w:t xml:space="preserve">JRS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validated JRS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proven</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efficacy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improves documentation</w:t>
            </w:r>
            <w:r>
              <w:t xml:space="preserve"> (exempt: </w:t>
            </w:r>
            <w:r>
              <w:rPr>
                <w:rFonts w:ascii="Consolas" w:hAnsi="Consolas"/>
              </w:rPr>
              <w:t xml:space="preserve">that JRS itself improves documentation outcomes</w:t>
            </w:r>
            <w:r>
              <w:t xml:space="preserve">)</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outperforms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criterion validity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2340" w:type="dxa"/>
          </w:tcPr>
          <w:p>
            <w:pPr>
              <w:spacing w:after="0"/>
            </w:pPr>
            <w:r>
              <w:t xml:space="preserve">1</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measurement invariance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workflow independence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enterprise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industry standard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non-expert</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non-experts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 reviewer</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 reviewers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trained-reviewer</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those same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expert panel</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same pool</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independent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All 61</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0.624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0.253 to 0.994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0.301 to 0.886</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Permitted term</w:t>
            </w:r>
          </w:p>
        </w:tc>
        <w:tc>
          <w:tcPr>
            <w:tcW w:w="3120" w:type="dxa"/>
          </w:tcPr>
          <w:p>
            <w:pPr>
              <w:spacing w:after="0"/>
            </w:pPr>
            <w:r>
              <w:t xml:space="preserve">Occurrences</w:t>
            </w:r>
          </w:p>
        </w:tc>
        <w:tc>
          <w:tcPr>
            <w:tcW w:w="3120" w:type="dxa"/>
          </w:tcPr>
          <w:p>
            <w:pPr>
              <w:spacing w:after="0"/>
            </w:pPr>
            <w:r>
              <w:t xml:space="preserve">Population it names</w:t>
            </w:r>
          </w:p>
        </w:tc>
      </w:tr>
      <w:tr>
        <w:tc>
          <w:tcPr>
            <w:tcW w:w="3120" w:type="dxa"/>
          </w:tcPr>
          <w:p>
            <w:pPr>
              <w:spacing w:after="0"/>
            </w:pPr>
            <w:r>
              <w:rPr>
                <w:rFonts w:ascii="Consolas" w:hAnsi="Consolas"/>
              </w:rPr>
              <w:t xml:space="preserve">Arm A</w:t>
            </w:r>
          </w:p>
        </w:tc>
        <w:tc>
          <w:tcPr>
            <w:tcW w:w="3120" w:type="dxa"/>
          </w:tcPr>
          <w:p>
            <w:pPr>
              <w:spacing w:after="0"/>
            </w:pPr>
            <w:r>
              <w:t xml:space="preserve">0</w:t>
            </w:r>
          </w:p>
        </w:tc>
        <w:tc>
          <w:tcPr>
            <w:tcW w:w="3120" w:type="dxa"/>
          </w:tcPr>
          <w:p>
            <w:pPr>
              <w:spacing w:after="0"/>
            </w:pPr>
            <w:r>
              <w:t xml:space="preserve">Study 011, detection panel</w:t>
            </w:r>
          </w:p>
        </w:tc>
      </w:tr>
      <w:tr>
        <w:tc>
          <w:tcPr>
            <w:tcW w:w="3120" w:type="dxa"/>
          </w:tcPr>
          <w:p>
            <w:pPr>
              <w:spacing w:after="0"/>
            </w:pPr>
            <w:r>
              <w:rPr>
                <w:rFonts w:ascii="Consolas" w:hAnsi="Consolas"/>
              </w:rPr>
              <w:t xml:space="preserve">Arm B</w:t>
            </w:r>
          </w:p>
        </w:tc>
        <w:tc>
          <w:tcPr>
            <w:tcW w:w="3120" w:type="dxa"/>
          </w:tcPr>
          <w:p>
            <w:pPr>
              <w:spacing w:after="0"/>
            </w:pPr>
            <w:r>
              <w:t xml:space="preserve">0</w:t>
            </w:r>
          </w:p>
        </w:tc>
        <w:tc>
          <w:tcPr>
            <w:tcW w:w="3120" w:type="dxa"/>
          </w:tcPr>
          <w:p>
            <w:pPr>
              <w:spacing w:after="0"/>
            </w:pPr>
            <w:r>
              <w:t xml:space="preserve">Study 012, comparison study</w:t>
            </w:r>
          </w:p>
        </w:tc>
      </w:tr>
      <w:tr>
        <w:tc>
          <w:tcPr>
            <w:tcW w:w="3120" w:type="dxa"/>
          </w:tcPr>
          <w:p>
            <w:pPr>
              <w:spacing w:after="0"/>
            </w:pPr>
            <w:r>
              <w:rPr>
                <w:rFonts w:ascii="Consolas" w:hAnsi="Consolas"/>
              </w:rPr>
              <w:t xml:space="preserve">16 independent experts</w:t>
            </w:r>
          </w:p>
        </w:tc>
        <w:tc>
          <w:tcPr>
            <w:tcW w:w="3120" w:type="dxa"/>
          </w:tcPr>
          <w:p>
            <w:pPr>
              <w:spacing w:after="0"/>
            </w:pPr>
            <w:r>
              <w:t xml:space="preserve">1</w:t>
            </w:r>
          </w:p>
        </w:tc>
        <w:tc>
          <w:tcPr>
            <w:tcW w:w="3120" w:type="dxa"/>
          </w:tcPr>
          <w:p>
            <w:pPr>
              <w:spacing w:after="0"/>
            </w:pPr>
            <w:r>
              <w:t xml:space="preserve">Study 011 completers</w:t>
            </w:r>
          </w:p>
        </w:tc>
      </w:tr>
      <w:tr>
        <w:tc>
          <w:tcPr>
            <w:tcW w:w="3120" w:type="dxa"/>
          </w:tcPr>
          <w:p>
            <w:pPr>
              <w:spacing w:after="0"/>
            </w:pPr>
            <w:r>
              <w:rPr>
                <w:rFonts w:ascii="Consolas" w:hAnsi="Consolas"/>
              </w:rPr>
              <w:t xml:space="preserve">20 independent experts</w:t>
            </w:r>
          </w:p>
        </w:tc>
        <w:tc>
          <w:tcPr>
            <w:tcW w:w="3120" w:type="dxa"/>
          </w:tcPr>
          <w:p>
            <w:pPr>
              <w:spacing w:after="0"/>
            </w:pPr>
            <w:r>
              <w:t xml:space="preserve">2</w:t>
            </w:r>
          </w:p>
        </w:tc>
        <w:tc>
          <w:tcPr>
            <w:tcW w:w="3120" w:type="dxa"/>
          </w:tcPr>
          <w:p>
            <w:pPr>
              <w:spacing w:after="0"/>
            </w:pPr>
            <w:r>
              <w:t xml:space="preserve">Study 012 completers</w:t>
            </w:r>
          </w:p>
        </w:tc>
      </w:tr>
      <w:tr>
        <w:tc>
          <w:tcPr>
            <w:tcW w:w="3120" w:type="dxa"/>
          </w:tcPr>
          <w:p>
            <w:pPr>
              <w:spacing w:after="0"/>
            </w:pPr>
            <w:r>
              <w:rPr>
                <w:rFonts w:ascii="Consolas" w:hAnsi="Consolas"/>
              </w:rPr>
              <w:t xml:space="preserve">invited experts</w:t>
            </w:r>
          </w:p>
        </w:tc>
        <w:tc>
          <w:tcPr>
            <w:tcW w:w="3120" w:type="dxa"/>
          </w:tcPr>
          <w:p>
            <w:pPr>
              <w:spacing w:after="0"/>
            </w:pPr>
            <w:r>
              <w:t xml:space="preserve">3</w:t>
            </w:r>
          </w:p>
        </w:tc>
        <w:tc>
          <w:tcPr>
            <w:tcW w:w="3120" w:type="dxa"/>
          </w:tcPr>
          <w:p>
            <w:pPr>
              <w:spacing w:after="0"/>
            </w:pPr>
            <w:r>
              <w:t xml:space="preserve">Study 004, E-coded raters</w:t>
            </w:r>
          </w:p>
        </w:tc>
      </w:tr>
      <w:tr>
        <w:tc>
          <w:tcPr>
            <w:tcW w:w="3120" w:type="dxa"/>
          </w:tcPr>
          <w:p>
            <w:pPr>
              <w:spacing w:after="0"/>
            </w:pPr>
            <w:r>
              <w:rPr>
                <w:rFonts w:ascii="Consolas" w:hAnsi="Consolas"/>
              </w:rPr>
              <w:t xml:space="preserve">regular reviewers</w:t>
            </w:r>
          </w:p>
        </w:tc>
        <w:tc>
          <w:tcPr>
            <w:tcW w:w="3120" w:type="dxa"/>
          </w:tcPr>
          <w:p>
            <w:pPr>
              <w:spacing w:after="0"/>
            </w:pPr>
            <w:r>
              <w:t xml:space="preserve">6</w:t>
            </w:r>
          </w:p>
        </w:tc>
        <w:tc>
          <w:tcPr>
            <w:tcW w:w="3120" w:type="dxa"/>
          </w:tcPr>
          <w:p>
            <w:pPr>
              <w:spacing w:after="0"/>
            </w:pPr>
            <w:r>
              <w:t xml:space="preserve">Study 004, R-coded raters</w:t>
            </w:r>
          </w:p>
        </w:tc>
      </w:tr>
      <w:tr>
        <w:tc>
          <w:tcPr>
            <w:tcW w:w="3120" w:type="dxa"/>
          </w:tcPr>
          <w:p>
            <w:pPr>
              <w:spacing w:after="0"/>
            </w:pPr>
            <w:r>
              <w:rPr>
                <w:rFonts w:ascii="Consolas" w:hAnsi="Consolas"/>
              </w:rPr>
              <w:t xml:space="preserve">detection panel</w:t>
            </w:r>
          </w:p>
        </w:tc>
        <w:tc>
          <w:tcPr>
            <w:tcW w:w="3120" w:type="dxa"/>
          </w:tcPr>
          <w:p>
            <w:pPr>
              <w:spacing w:after="0"/>
            </w:pPr>
            <w:r>
              <w:t xml:space="preserve">5</w:t>
            </w:r>
          </w:p>
        </w:tc>
        <w:tc>
          <w:tcPr>
            <w:tcW w:w="3120" w:type="dxa"/>
          </w:tcPr>
          <w:p>
            <w:pPr>
              <w:spacing w:after="0"/>
            </w:pPr>
            <w:r>
              <w:t xml:space="preserve">Study 011</w:t>
            </w:r>
          </w:p>
        </w:tc>
      </w:tr>
      <w:tr>
        <w:tc>
          <w:tcPr>
            <w:tcW w:w="3120" w:type="dxa"/>
          </w:tcPr>
          <w:p>
            <w:pPr>
              <w:spacing w:after="0"/>
            </w:pPr>
            <w:r>
              <w:rPr>
                <w:rFonts w:ascii="Consolas" w:hAnsi="Consolas"/>
              </w:rPr>
              <w:t xml:space="preserve">comparison study</w:t>
            </w:r>
          </w:p>
        </w:tc>
        <w:tc>
          <w:tcPr>
            <w:tcW w:w="3120" w:type="dxa"/>
          </w:tcPr>
          <w:p>
            <w:pPr>
              <w:spacing w:after="0"/>
            </w:pPr>
            <w:r>
              <w:t xml:space="preserve">2</w:t>
            </w:r>
          </w:p>
        </w:tc>
        <w:tc>
          <w:tcPr>
            <w:tcW w:w="3120" w:type="dxa"/>
          </w:tcPr>
          <w:p>
            <w:pPr>
              <w:spacing w:after="0"/>
            </w:pPr>
            <w:r>
              <w:t xml:space="preserve">Study 012</w:t>
            </w:r>
          </w:p>
        </w:tc>
      </w:tr>
      <w:tr>
        <w:tc>
          <w:tcPr>
            <w:tcW w:w="3120" w:type="dxa"/>
          </w:tcPr>
          <w:p>
            <w:pPr>
              <w:spacing w:after="0"/>
            </w:pPr>
            <w:r>
              <w:rPr>
                <w:rFonts w:ascii="Consolas" w:hAnsi="Consolas"/>
              </w:rPr>
              <w:t xml:space="preserve">JRS-naive</w:t>
            </w:r>
          </w:p>
        </w:tc>
        <w:tc>
          <w:tcPr>
            <w:tcW w:w="3120" w:type="dxa"/>
          </w:tcPr>
          <w:p>
            <w:pPr>
              <w:spacing w:after="0"/>
            </w:pPr>
            <w:r>
              <w:t xml:space="preserve">1</w:t>
            </w:r>
          </w:p>
        </w:tc>
        <w:tc>
          <w:tcPr>
            <w:tcW w:w="3120" w:type="dxa"/>
          </w:tcPr>
          <w:p>
            <w:pPr>
              <w:spacing w:after="0"/>
            </w:pPr>
            <w:r>
              <w:t xml:space="preserve">Study 012, exposure not expertise</w:t>
            </w:r>
          </w:p>
        </w:tc>
      </w:tr>
      <w:tr>
        <w:tc>
          <w:tcPr>
            <w:tcW w:w="3120" w:type="dxa"/>
          </w:tcPr>
          <w:p>
            <w:pPr>
              <w:spacing w:after="0"/>
            </w:pPr>
            <w:r>
              <w:rPr>
                <w:rFonts w:ascii="Consolas" w:hAnsi="Consolas"/>
              </w:rPr>
              <w:t xml:space="preserve">58</w:t>
            </w:r>
          </w:p>
        </w:tc>
        <w:tc>
          <w:tcPr>
            <w:tcW w:w="3120" w:type="dxa"/>
          </w:tcPr>
          <w:p>
            <w:pPr>
              <w:spacing w:after="0"/>
            </w:pPr>
            <w:r>
              <w:t xml:space="preserve">3</w:t>
            </w:r>
          </w:p>
        </w:tc>
        <w:tc>
          <w:tcPr>
            <w:tcW w:w="3120" w:type="dxa"/>
          </w:tcPr>
          <w:p>
            <w:pPr>
              <w:spacing w:after="0"/>
            </w:pPr>
            <w:r>
              <w:t xml:space="preserve">distinct participants across all three groups</w:t>
            </w:r>
          </w:p>
        </w:tc>
      </w:tr>
      <w:tr>
        <w:tc>
          <w:tcPr>
            <w:tcW w:w="3120" w:type="dxa"/>
          </w:tcPr>
          <w:p>
            <w:pPr>
              <w:spacing w:after="0"/>
            </w:pPr>
            <w:r>
              <w:rPr>
                <w:rFonts w:ascii="Consolas" w:hAnsi="Consolas"/>
              </w:rPr>
              <w:t xml:space="preserve">61</w:t>
            </w:r>
          </w:p>
        </w:tc>
        <w:tc>
          <w:tcPr>
            <w:tcW w:w="3120" w:type="dxa"/>
          </w:tcPr>
          <w:p>
            <w:pPr>
              <w:spacing w:after="0"/>
            </w:pPr>
            <w:r>
              <w:t xml:space="preserve">5</w:t>
            </w:r>
          </w:p>
        </w:tc>
        <w:tc>
          <w:tcPr>
            <w:tcW w:w="3120" w:type="dxa"/>
          </w:tcPr>
          <w:p>
            <w:pPr>
              <w:spacing w:after="0"/>
            </w:pPr>
            <w:r>
              <w:t xml:space="preserve">participations across all three groups</w:t>
            </w:r>
          </w:p>
        </w:tc>
      </w:tr>
    </w:tbl>
    <w:p>
      <w:pPr/>
      <w:r>
        <w:t/>
      </w:r>
    </w:p>
    <w:p>
      <w:pPr>
        <w:spacing w:after="140"/>
      </w:pPr>
      <w:r>
        <w:rPr>
          <w:b/>
        </w:rPr>
        <w:t xml:space="preserve">No 36-person aggregate was inserted.</w:t>
      </w:r>
      <w:r>
        <w:t xml:space="preserve"> The instruction forbids deriving one from 16 + 20, and although Arm A and Arm B are verified disjoint, an aggregate has no methodological purpose here: the detection finding rests on the sixteen panel members alone. The only </w:t>
      </w:r>
      <w:r>
        <w:rPr>
          <w:rFonts w:ascii="Consolas" w:hAnsi="Consolas"/>
        </w:rPr>
        <w:t xml:space="preserve">36</w:t>
      </w:r>
      <w:r>
        <w:t xml:space="preserve"> in the manuscript is the expert label count in the reliability table, which is a label count and not a person count.</w:t>
      </w:r>
    </w:p>
    <w:p>
      <w:pPr>
        <w:pBdr>
          <w:bottom w:val="single" w:sz="6" w:space="1" w:color="AAAAAA"/>
        </w:pBdr>
      </w:pPr>
    </w:p>
    <w:p>
      <w:pPr>
        <w:pStyle w:val="Heading2"/>
        <w:spacing w:after="140"/>
      </w:pPr>
      <w:r>
        <w:t xml:space="preserve">6.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Source</w:t>
            </w:r>
          </w:p>
        </w:tc>
        <w:tc>
          <w:tcPr>
            <w:tcW w:w="3120" w:type="dxa"/>
          </w:tcPr>
          <w:p>
            <w:pPr>
              <w:spacing w:after="0"/>
            </w:pPr>
            <w:r>
              <w:t xml:space="preserve">v2</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182</w:t>
            </w:r>
          </w:p>
        </w:tc>
        <w:tc>
          <w:tcPr>
            <w:tcW w:w="3120" w:type="dxa"/>
          </w:tcPr>
          <w:p>
            <w:pPr>
              <w:spacing w:after="0"/>
            </w:pPr>
            <w:r>
              <w:t xml:space="preserve">183</w:t>
            </w:r>
          </w:p>
        </w:tc>
      </w:tr>
      <w:tr>
        <w:tc>
          <w:tcPr>
            <w:tcW w:w="3120" w:type="dxa"/>
          </w:tcPr>
          <w:p>
            <w:pPr>
              <w:spacing w:after="0"/>
            </w:pPr>
            <w:r>
              <w:t xml:space="preserve">Paragraph delta</w:t>
            </w:r>
          </w:p>
        </w:tc>
        <w:tc>
          <w:tcPr>
            <w:tcW w:w="3120" w:type="dxa"/>
          </w:tcPr>
          <w:p>
            <w:pPr>
              <w:spacing w:after="0"/>
            </w:pPr>
            <w:r>
              <w:t xml:space="preserve">0</w:t>
            </w:r>
          </w:p>
        </w:tc>
        <w:tc>
          <w:tcPr>
            <w:tcW w:w="3120" w:type="dxa"/>
          </w:tcPr>
          <w:p>
            <w:pPr>
              <w:spacing w:after="0"/>
            </w:pPr>
            <w:r>
              <w:t xml:space="preserve">+1, being the one paragraph Correction 7 inserts</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11868</w:t>
            </w:r>
          </w:p>
        </w:tc>
        <w:tc>
          <w:tcPr>
            <w:tcW w:w="3120" w:type="dxa"/>
          </w:tcPr>
          <w:p>
            <w:pPr>
              <w:spacing w:after="0"/>
            </w:pPr>
            <w:r>
              <w:t xml:space="preserve">11944</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the source</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Abstract</w:t>
            </w:r>
          </w:p>
        </w:tc>
        <w:tc>
          <w:tcPr>
            <w:tcW w:w="4680" w:type="dxa"/>
          </w:tcPr>
          <w:p>
            <w:pPr>
              <w:spacing w:after="0"/>
            </w:pPr>
            <w:r>
              <w:t xml:space="preserve">Correction 8 only</w:t>
            </w:r>
          </w:p>
        </w:tc>
      </w:tr>
      <w:tr>
        <w:tc>
          <w:tcPr>
            <w:tcW w:w="4680" w:type="dxa"/>
          </w:tcPr>
          <w:p>
            <w:pPr>
              <w:spacing w:after="0"/>
            </w:pPr>
            <w:r>
              <w:t xml:space="preserve">Section 3</w:t>
            </w:r>
          </w:p>
        </w:tc>
        <w:tc>
          <w:tcPr>
            <w:tcW w:w="4680" w:type="dxa"/>
          </w:tcPr>
          <w:p>
            <w:pPr>
              <w:spacing w:after="0"/>
            </w:pPr>
            <w:r>
              <w:t xml:space="preserve">Correction 4 only</w:t>
            </w:r>
          </w:p>
        </w:tc>
      </w:tr>
      <w:tr>
        <w:tc>
          <w:tcPr>
            <w:tcW w:w="4680" w:type="dxa"/>
          </w:tcPr>
          <w:p>
            <w:pPr>
              <w:spacing w:after="0"/>
            </w:pPr>
            <w:r>
              <w:t xml:space="preserve">Section 5</w:t>
            </w:r>
          </w:p>
        </w:tc>
        <w:tc>
          <w:tcPr>
            <w:tcW w:w="4680" w:type="dxa"/>
          </w:tcPr>
          <w:p>
            <w:pPr>
              <w:spacing w:after="0"/>
            </w:pPr>
            <w:r>
              <w:t xml:space="preserve">Correction 3 only</w:t>
            </w:r>
          </w:p>
        </w:tc>
      </w:tr>
      <w:tr>
        <w:tc>
          <w:tcPr>
            <w:tcW w:w="4680" w:type="dxa"/>
          </w:tcPr>
          <w:p>
            <w:pPr>
              <w:spacing w:after="0"/>
            </w:pPr>
            <w:r>
              <w:t xml:space="preserve">Appendix B</w:t>
            </w:r>
          </w:p>
        </w:tc>
        <w:tc>
          <w:tcPr>
            <w:tcW w:w="4680" w:type="dxa"/>
          </w:tcPr>
          <w:p>
            <w:pPr>
              <w:spacing w:after="0"/>
            </w:pPr>
            <w:r>
              <w:t xml:space="preserve">Correction 7 only, one paragraph inserted, no value changed</w:t>
            </w:r>
          </w:p>
        </w:tc>
      </w:tr>
      <w:tr>
        <w:tc>
          <w:tcPr>
            <w:tcW w:w="4680" w:type="dxa"/>
          </w:tcPr>
          <w:p>
            <w:pPr>
              <w:spacing w:after="0"/>
            </w:pPr>
            <w:r>
              <w:t xml:space="preserve">Acknowledgments</w:t>
            </w:r>
          </w:p>
        </w:tc>
        <w:tc>
          <w:tcPr>
            <w:tcW w:w="4680" w:type="dxa"/>
          </w:tcPr>
          <w:p>
            <w:pPr>
              <w:spacing w:after="0"/>
            </w:pPr>
            <w:r>
              <w:t xml:space="preserve">Correction 1 only</w:t>
            </w:r>
          </w:p>
        </w:tc>
      </w:tr>
      <w:tr>
        <w:tc>
          <w:tcPr>
            <w:tcW w:w="4680" w:type="dxa"/>
          </w:tcPr>
          <w:p>
            <w:pPr>
              <w:spacing w:after="0"/>
            </w:pPr>
            <w:r>
              <w:t xml:space="preserve">Sections 1, 2, 4, 6, 7, 8, 9, 10</w:t>
            </w:r>
          </w:p>
        </w:tc>
        <w:tc>
          <w:tcPr>
            <w:tcW w:w="4680" w:type="dxa"/>
          </w:tcPr>
          <w:p>
            <w:pPr>
              <w:spacing w:after="0"/>
            </w:pPr>
            <w:r>
              <w:t xml:space="preserve">unchanged</w:t>
            </w:r>
          </w:p>
        </w:tc>
      </w:tr>
    </w:tbl>
    <w:p>
      <w:pPr/>
      <w:r>
        <w:t/>
      </w:r>
    </w:p>
    <w:p>
      <w:pPr>
        <w:spacing w:after="140"/>
      </w:pPr>
      <w:r>
        <w:t xml:space="preserve">No section was deleted, no reference altered, no citation changed. The table-row count is identical, so no table was damaged, and the reliability table is byte-identical. The source is plain Markdown and the </w:t>
      </w:r>
      <w:r>
        <w:rPr>
          <w:rFonts w:ascii="Consolas" w:hAnsi="Consolas"/>
        </w:rPr>
        <w:t xml:space="preserve">.docx</w:t>
      </w:r>
      <w:r>
        <w:t xml:space="preserve"> is generated from it, so no tracked change and no comment can be introduced.</w:t>
      </w:r>
    </w:p>
    <w:p>
      <w:pPr>
        <w:spacing w:after="140"/>
      </w:pPr>
      <w:r>
        <w:rPr>
          <w:b/>
        </w:rPr>
        <w:t xml:space="preserve">Document integrity: PASS</w:t>
      </w:r>
    </w:p>
    <w:p>
      <w:pPr>
        <w:pBdr>
          <w:bottom w:val="single" w:sz="6" w:space="1" w:color="AAAAAA"/>
        </w:pBdr>
      </w:pPr>
    </w:p>
    <w:p>
      <w:pPr>
        <w:spacing w:after="140"/>
      </w:pPr>
      <w:r>
        <w:t xml:space="preserve">"Submission-final v2 completed. Five sentences changed: the participant overlap is now stated, the comparison study is identified by number and standing, the same-pool ambiguity is removed, the two appendix denominators are distinguished, and the Abstract is aligned with the Introduction. No reported result, threshold, corpus figure, study design, arm architecture, limitation, reference or table cell was changed, and no claim was strengthened. 58 was verified and retained rather than changed to 61."</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