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spacing w:after="140"/>
      </w:pPr>
      <w:r>
        <w:t xml:space="preserve">Detection_Article_v5 change log</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Source file, not overwritten</w:t>
            </w:r>
          </w:p>
        </w:tc>
        <w:tc>
          <w:tcPr>
            <w:tcW w:w="4680" w:type="dxa"/>
          </w:tcPr>
          <w:p>
            <w:pPr>
              <w:spacing w:after="0"/>
            </w:pPr>
            <w:r>
              <w:rPr>
                <w:rFonts w:ascii="Consolas" w:hAnsi="Consolas"/>
              </w:rPr>
              <w:t xml:space="preserve">research/Detection_Article_v4_2026-08-16.md</w:t>
            </w:r>
          </w:p>
        </w:tc>
      </w:tr>
      <w:tr>
        <w:tc>
          <w:tcPr>
            <w:tcW w:w="4680" w:type="dxa"/>
          </w:tcPr>
          <w:p>
            <w:pPr>
              <w:spacing w:after="0"/>
            </w:pPr>
            <w:r>
              <w:t xml:space="preserve">File written</w:t>
            </w:r>
          </w:p>
        </w:tc>
        <w:tc>
          <w:tcPr>
            <w:tcW w:w="4680" w:type="dxa"/>
          </w:tcPr>
          <w:p>
            <w:pPr>
              <w:spacing w:after="0"/>
            </w:pPr>
            <w:r>
              <w:rPr>
                <w:rFonts w:ascii="Consolas" w:hAnsi="Consolas"/>
              </w:rPr>
              <w:t xml:space="preserve">research/Detection_Article_v5_2026-08-18.md</w:t>
            </w:r>
          </w:p>
        </w:tc>
      </w:tr>
      <w:tr>
        <w:tc>
          <w:tcPr>
            <w:tcW w:w="4680" w:type="dxa"/>
          </w:tcPr>
          <w:p>
            <w:pPr>
              <w:spacing w:after="0"/>
            </w:pPr>
            <w:r>
              <w:t xml:space="preserve">Date of execution</w:t>
            </w:r>
          </w:p>
        </w:tc>
        <w:tc>
          <w:tcPr>
            <w:tcW w:w="4680" w:type="dxa"/>
          </w:tcPr>
          <w:p>
            <w:pPr>
              <w:spacing w:after="0"/>
            </w:pPr>
            <w:r>
              <w:t xml:space="preserve">2026-08-18</w:t>
            </w:r>
          </w:p>
        </w:tc>
      </w:tr>
      <w:tr>
        <w:tc>
          <w:tcPr>
            <w:tcW w:w="4680" w:type="dxa"/>
          </w:tcPr>
          <w:p>
            <w:pPr>
              <w:spacing w:after="0"/>
            </w:pPr>
            <w:r>
              <w:t xml:space="preserve">Rules applied</w:t>
            </w:r>
          </w:p>
        </w:tc>
        <w:tc>
          <w:tcPr>
            <w:tcW w:w="4680" w:type="dxa"/>
          </w:tcPr>
          <w:p>
            <w:pPr>
              <w:spacing w:after="0"/>
            </w:pPr>
            <w:r>
              <w:t xml:space="preserve">21</w:t>
            </w:r>
          </w:p>
        </w:tc>
      </w:tr>
      <w:tr>
        <w:tc>
          <w:tcPr>
            <w:tcW w:w="4680" w:type="dxa"/>
          </w:tcPr>
          <w:p>
            <w:pPr>
              <w:spacing w:after="0"/>
            </w:pPr>
            <w:r>
              <w:t xml:space="preserve">Already satisfied</w:t>
            </w:r>
          </w:p>
        </w:tc>
        <w:tc>
          <w:tcPr>
            <w:tcW w:w="4680" w:type="dxa"/>
          </w:tcPr>
          <w:p>
            <w:pPr>
              <w:spacing w:after="0"/>
            </w:pPr>
            <w:r>
              <w:t xml:space="preserve">0</w:t>
            </w:r>
          </w:p>
        </w:tc>
      </w:tr>
      <w:tr>
        <w:tc>
          <w:tcPr>
            <w:tcW w:w="4680" w:type="dxa"/>
          </w:tcPr>
          <w:p>
            <w:pPr>
              <w:spacing w:after="0"/>
            </w:pPr>
            <w:r>
              <w:t xml:space="preserve">Rules failed</w:t>
            </w:r>
          </w:p>
        </w:tc>
        <w:tc>
          <w:tcPr>
            <w:tcW w:w="4680" w:type="dxa"/>
          </w:tcPr>
          <w:p>
            <w:pPr>
              <w:spacing w:after="0"/>
            </w:pPr>
            <w:r>
              <w:t xml:space="preserve">0</w:t>
            </w:r>
          </w:p>
        </w:tc>
      </w:tr>
    </w:tbl>
    <w:p>
      <w:pPr/>
      <w:r>
        <w:t/>
      </w:r>
    </w:p>
    <w:p>
      <w:pPr>
        <w:pStyle w:val="Heading2"/>
        <w:spacing w:after="140"/>
      </w:pPr>
      <w:r>
        <w:t xml:space="preserve">Surgical revisions</w:t>
      </w:r>
    </w:p>
    <w:p>
      <w:pPr>
        <w:pStyle w:val="Heading3"/>
        <w:spacing w:after="140"/>
      </w:pPr>
      <w:r>
        <w:t xml:space="preserve">Revision 1, applied</w:t>
      </w:r>
    </w:p>
    <w:p>
      <w:pPr>
        <w:spacing w:after="140"/>
      </w:pPr>
      <w:r>
        <w:rPr>
          <w:b/>
        </w:rPr>
        <w:t xml:space="preserve">Location.</w:t>
      </w:r>
      <w:r>
        <w:t xml:space="preserve"> Section 4.1, validation architecture table</w:t>
      </w:r>
    </w:p>
    <w:p>
      <w:pPr>
        <w:spacing w:after="140"/>
      </w:pPr>
      <w:r>
        <w:rPr>
          <w:b/>
        </w:rPr>
        <w:t xml:space="preserve">Original</w:t>
      </w:r>
    </w:p>
    <w:p>
      <w:pPr>
        <w:spacing w:after="140"/>
      </w:pPr>
      <w:r>
        <w:t xml:space="preserve">&gt; | Independent criterion assessment | A key established by raters not party to the definition | Section 4.4, partially satisfied, see 4.4 |</w:t>
      </w:r>
    </w:p>
    <w:p>
      <w:pPr>
        <w:spacing w:after="140"/>
      </w:pPr>
      <w:r>
        <w:rPr>
          <w:b/>
        </w:rPr>
        <w:t xml:space="preserve">Replacement</w:t>
      </w:r>
    </w:p>
    <w:p>
      <w:pPr>
        <w:spacing w:after="140"/>
      </w:pPr>
      <w:r>
        <w:t xml:space="preserve">&gt; | Independent criterion assessment | Independent reproduction of an author-generated reference classification by raters not involved in corpus construction | Section 4.4, independently reproduced but construct-dependent |</w:t>
      </w:r>
    </w:p>
    <w:p>
      <w:pPr>
        <w:pStyle w:val="Heading3"/>
        <w:spacing w:after="140"/>
      </w:pPr>
      <w:r>
        <w:t xml:space="preserve">Revision 2, applied</w:t>
      </w:r>
    </w:p>
    <w:p>
      <w:pPr>
        <w:spacing w:after="140"/>
      </w:pPr>
      <w:r>
        <w:rPr>
          <w:b/>
        </w:rPr>
        <w:t xml:space="preserve">Location.</w:t>
      </w:r>
      <w:r>
        <w:t xml:space="preserve"> Section 1, Introduction</w:t>
      </w:r>
    </w:p>
    <w:p>
      <w:pPr>
        <w:spacing w:after="140"/>
      </w:pPr>
      <w:r>
        <w:rPr>
          <w:b/>
        </w:rPr>
        <w:t xml:space="preserve">Original</w:t>
      </w:r>
    </w:p>
    <w:p>
      <w:pPr>
        <w:spacing w:after="140"/>
      </w:pPr>
      <w:r>
        <w:t xml:space="preserve">&gt; The chain establishes that the operationalisation is recognisable to independent experts.</w:t>
      </w:r>
    </w:p>
    <w:p>
      <w:pPr>
        <w:spacing w:after="140"/>
      </w:pPr>
      <w:r>
        <w:rPr>
          <w:b/>
        </w:rPr>
        <w:t xml:space="preserve">Replacement</w:t>
      </w:r>
    </w:p>
    <w:p>
      <w:pPr>
        <w:spacing w:after="140"/>
      </w:pPr>
      <w:r>
        <w:t xml:space="preserve">&gt; The chain provides evidence that the operationalisation is recognisable to independent experts under the stated reviewer standpoint and briefing.</w:t>
      </w:r>
    </w:p>
    <w:p>
      <w:pPr>
        <w:pStyle w:val="Heading3"/>
        <w:spacing w:after="140"/>
      </w:pPr>
      <w:r>
        <w:t xml:space="preserve">Revision 3, applied</w:t>
      </w:r>
    </w:p>
    <w:p>
      <w:pPr>
        <w:spacing w:after="140"/>
      </w:pPr>
      <w:r>
        <w:rPr>
          <w:b/>
        </w:rPr>
        <w:t xml:space="preserve">Location.</w:t>
      </w:r>
      <w:r>
        <w:t xml:space="preserve"> Section 6.3, reviewer heterogeneity</w:t>
      </w:r>
    </w:p>
    <w:p>
      <w:pPr>
        <w:spacing w:after="140"/>
      </w:pPr>
      <w:r>
        <w:rPr>
          <w:b/>
        </w:rPr>
        <w:t xml:space="preserve">Original</w:t>
      </w:r>
    </w:p>
    <w:p>
      <w:pPr>
        <w:spacing w:after="140"/>
      </w:pPr>
      <w:r>
        <w:t xml:space="preserve">&gt; distribution in which some reviewers are near-perfect and at least one performs below chance,</w:t>
      </w:r>
    </w:p>
    <w:p>
      <w:pPr>
        <w:spacing w:after="140"/>
      </w:pPr>
      <w:r>
        <w:rPr>
          <w:b/>
        </w:rPr>
        <w:t xml:space="preserve">Replacement</w:t>
      </w:r>
    </w:p>
    <w:p>
      <w:pPr>
        <w:spacing w:after="140"/>
      </w:pPr>
      <w:r>
        <w:t xml:space="preserve">&gt; distribution in which some reviewers are near-perfect and at least one reviewer had an accuracy below the 50 percent balanced-corpus chance benchmark,</w:t>
      </w:r>
    </w:p>
    <w:p>
      <w:pPr>
        <w:pStyle w:val="Heading3"/>
        <w:spacing w:after="140"/>
      </w:pPr>
      <w:r>
        <w:t xml:space="preserve">Revision 4, applied</w:t>
      </w:r>
    </w:p>
    <w:p>
      <w:pPr>
        <w:spacing w:after="140"/>
      </w:pPr>
      <w:r>
        <w:rPr>
          <w:b/>
        </w:rPr>
        <w:t xml:space="preserve">Location.</w:t>
      </w:r>
      <w:r>
        <w:t xml:space="preserve"> Appendix C, mixed-effects interpretation</w:t>
      </w:r>
    </w:p>
    <w:p>
      <w:pPr>
        <w:spacing w:after="140"/>
      </w:pPr>
      <w:r>
        <w:rPr>
          <w:b/>
        </w:rPr>
        <w:t xml:space="preserve">Original</w:t>
      </w:r>
    </w:p>
    <w:p>
      <w:pPr>
        <w:spacing w:after="140"/>
      </w:pPr>
      <w:r>
        <w:t xml:space="preserve">&gt; sits inside the reviewer-level spread the model estimates. Nothing about the headline figure depends on the particular draw of 24 records in a way this analysis can detect.</w:t>
      </w:r>
    </w:p>
    <w:p>
      <w:pPr>
        <w:spacing w:after="140"/>
      </w:pPr>
      <w:r>
        <w:rPr>
          <w:b/>
        </w:rPr>
        <w:t xml:space="preserve">Replacement</w:t>
      </w:r>
    </w:p>
    <w:p>
      <w:pPr>
        <w:spacing w:after="140"/>
      </w:pPr>
      <w:r>
        <w:t xml:space="preserve">&gt; sits inside the reviewer-level spread the model estimates. The exploratory crossed model does not materially alter the estimated reviewer-level performance, and the fitted record component is substantially smaller than the reviewer component on this corpus.</w:t>
      </w:r>
    </w:p>
    <w:p>
      <w:pPr>
        <w:pStyle w:val="Heading3"/>
        <w:spacing w:after="140"/>
      </w:pPr>
      <w:r>
        <w:t xml:space="preserve">Revision 5, applied</w:t>
      </w:r>
    </w:p>
    <w:p>
      <w:pPr>
        <w:spacing w:after="140"/>
      </w:pPr>
      <w:r>
        <w:rPr>
          <w:b/>
        </w:rPr>
        <w:t xml:space="preserve">Location.</w:t>
      </w:r>
      <w:r>
        <w:t xml:space="preserve"> Author contributions</w:t>
      </w:r>
    </w:p>
    <w:p>
      <w:pPr>
        <w:spacing w:after="140"/>
      </w:pPr>
      <w:r>
        <w:rPr>
          <w:b/>
        </w:rPr>
        <w:t xml:space="preserve">Original</w:t>
      </w:r>
    </w:p>
    <w:p>
      <w:pPr>
        <w:spacing w:after="140"/>
      </w:pPr>
      <w:r>
        <w:t xml:space="preserve">&gt; Neither author took part in the blind reproduction of the answer key, and neither author graded any record in the detection panel.</w:t>
      </w:r>
    </w:p>
    <w:p>
      <w:pPr>
        <w:spacing w:after="140"/>
      </w:pPr>
      <w:r>
        <w:rPr>
          <w:b/>
        </w:rPr>
        <w:t xml:space="preserve">Replacement</w:t>
      </w:r>
    </w:p>
    <w:p>
      <w:pPr>
        <w:spacing w:after="140"/>
      </w:pPr>
      <w:r>
        <w:t xml:space="preserve">&gt; Neither author took part in the blind reproduction of the reference classification, and neither author graded any record in the detection panel.</w:t>
      </w:r>
    </w:p>
    <w:p>
      <w:pPr>
        <w:pStyle w:val="Heading3"/>
        <w:spacing w:after="140"/>
      </w:pPr>
      <w:r>
        <w:t xml:space="preserve">Revision 5, applied</w:t>
      </w:r>
    </w:p>
    <w:p>
      <w:pPr>
        <w:spacing w:after="140"/>
      </w:pPr>
      <w:r>
        <w:rPr>
          <w:b/>
        </w:rPr>
        <w:t xml:space="preserve">Location.</w:t>
      </w:r>
      <w:r>
        <w:t xml:space="preserve"> Section 1, evidentiary chain</w:t>
      </w:r>
    </w:p>
    <w:p>
      <w:pPr>
        <w:spacing w:after="140"/>
      </w:pPr>
      <w:r>
        <w:rPr>
          <w:b/>
        </w:rPr>
        <w:t xml:space="preserve">Original</w:t>
      </w:r>
    </w:p>
    <w:p>
      <w:pPr>
        <w:spacing w:after="140"/>
      </w:pPr>
      <w:r>
        <w:t xml:space="preserve">&gt; an operational definition, a corpus constructed to instantiate it, an answer key reproduced by raters blind to the hypotheses, blinded expert detection, and a pre-registered statistical criterion.</w:t>
      </w:r>
    </w:p>
    <w:p>
      <w:pPr>
        <w:spacing w:after="140"/>
      </w:pPr>
      <w:r>
        <w:rPr>
          <w:b/>
        </w:rPr>
        <w:t xml:space="preserve">Replacement</w:t>
      </w:r>
    </w:p>
    <w:p>
      <w:pPr>
        <w:spacing w:after="140"/>
      </w:pPr>
      <w:r>
        <w:t xml:space="preserve">&gt; an operational definition, a corpus constructed to instantiate it, a reference classification reproduced by raters blind to the hypotheses, blinded expert detection, and a pre-registered statistical criterion.</w:t>
      </w:r>
    </w:p>
    <w:p>
      <w:pPr>
        <w:pStyle w:val="Heading3"/>
        <w:spacing w:after="140"/>
      </w:pPr>
      <w:r>
        <w:t xml:space="preserve">Revision 5, applied</w:t>
      </w:r>
    </w:p>
    <w:p>
      <w:pPr>
        <w:spacing w:after="140"/>
      </w:pPr>
      <w:r>
        <w:rPr>
          <w:b/>
        </w:rPr>
        <w:t xml:space="preserve">Location.</w:t>
      </w:r>
      <w:r>
        <w:t xml:space="preserve"> Section 2.4, construct-validity limit</w:t>
      </w:r>
    </w:p>
    <w:p>
      <w:pPr>
        <w:spacing w:after="140"/>
      </w:pPr>
      <w:r>
        <w:rPr>
          <w:b/>
        </w:rPr>
        <w:t xml:space="preserve">Original</w:t>
      </w:r>
    </w:p>
    <w:p>
      <w:pPr>
        <w:spacing w:after="140"/>
      </w:pPr>
      <w:r>
        <w:t xml:space="preserve">&gt; The corpus was constructed to instantiate the authors' operationalisation of DRR, and the answer key encodes that operationalisation. A finding that experts recover the key is therefore, in the first instance, a finding that the operationalisation is </w:t>
      </w:r>
      <w:r>
        <w:rPr>
          <w:i/>
        </w:rPr>
        <w:t xml:space="preserve">recognisable</w:t>
      </w:r>
      <w:r>
        <w:t xml:space="preserve">.</w:t>
      </w:r>
    </w:p>
    <w:p>
      <w:pPr>
        <w:spacing w:after="140"/>
      </w:pPr>
      <w:r>
        <w:rPr>
          <w:b/>
        </w:rPr>
        <w:t xml:space="preserve">Replacement</w:t>
      </w:r>
    </w:p>
    <w:p>
      <w:pPr>
        <w:spacing w:after="140"/>
      </w:pPr>
      <w:r>
        <w:t xml:space="preserve">&gt; The corpus was constructed to instantiate the authors' operationalisation of DRR, and the reference classification encodes that operationalisation. A finding that experts recover the reference classification is therefore, in the first instance, a finding that the operationalisation is </w:t>
      </w:r>
      <w:r>
        <w:rPr>
          <w:i/>
        </w:rPr>
        <w:t xml:space="preserve">recognisable</w:t>
      </w:r>
      <w:r>
        <w:t xml:space="preserve">.</w:t>
      </w:r>
    </w:p>
    <w:p>
      <w:pPr>
        <w:pStyle w:val="Heading3"/>
        <w:spacing w:after="140"/>
      </w:pPr>
      <w:r>
        <w:t xml:space="preserve">Revision 5, applied</w:t>
      </w:r>
    </w:p>
    <w:p>
      <w:pPr>
        <w:spacing w:after="140"/>
      </w:pPr>
      <w:r>
        <w:rPr>
          <w:b/>
        </w:rPr>
        <w:t xml:space="preserve">Location.</w:t>
      </w:r>
      <w:r>
        <w:t xml:space="preserve"> Section 4.4 heading</w:t>
      </w:r>
    </w:p>
    <w:p>
      <w:pPr>
        <w:spacing w:after="140"/>
      </w:pPr>
      <w:r>
        <w:rPr>
          <w:b/>
        </w:rPr>
        <w:t xml:space="preserve">Original</w:t>
      </w:r>
    </w:p>
    <w:p>
      <w:pPr>
        <w:spacing w:after="140"/>
      </w:pPr>
      <w:r>
        <w:t xml:space="preserve">&gt; ### 4.4 The answer key, and how it was established</w:t>
      </w:r>
    </w:p>
    <w:p>
      <w:pPr>
        <w:spacing w:after="140"/>
      </w:pPr>
      <w:r>
        <w:rPr>
          <w:b/>
        </w:rPr>
        <w:t xml:space="preserve">Replacement</w:t>
      </w:r>
    </w:p>
    <w:p>
      <w:pPr>
        <w:spacing w:after="140"/>
      </w:pPr>
      <w:r>
        <w:t xml:space="preserve">&gt; ### 4.4 The reference classification, and how it was established</w:t>
      </w:r>
    </w:p>
    <w:p>
      <w:pPr>
        <w:pStyle w:val="Heading3"/>
        <w:spacing w:after="140"/>
      </w:pPr>
      <w:r>
        <w:t xml:space="preserve">Revision 5, applied</w:t>
      </w:r>
    </w:p>
    <w:p>
      <w:pPr>
        <w:spacing w:after="140"/>
      </w:pPr>
      <w:r>
        <w:rPr>
          <w:b/>
        </w:rPr>
        <w:t xml:space="preserve">Location.</w:t>
      </w:r>
      <w:r>
        <w:t xml:space="preserve"> Section 4.5, blinding</w:t>
      </w:r>
    </w:p>
    <w:p>
      <w:pPr>
        <w:spacing w:after="140"/>
      </w:pPr>
      <w:r>
        <w:rPr>
          <w:b/>
        </w:rPr>
        <w:t xml:space="preserve">Original</w:t>
      </w:r>
    </w:p>
    <w:p>
      <w:pPr>
        <w:spacing w:after="140"/>
      </w:pPr>
      <w:r>
        <w:t xml:space="preserve">&gt; Reviewers were blind to the answer key, blind to one another's judgments,</w:t>
      </w:r>
    </w:p>
    <w:p>
      <w:pPr>
        <w:spacing w:after="140"/>
      </w:pPr>
      <w:r>
        <w:rPr>
          <w:b/>
        </w:rPr>
        <w:t xml:space="preserve">Replacement</w:t>
      </w:r>
    </w:p>
    <w:p>
      <w:pPr>
        <w:spacing w:after="140"/>
      </w:pPr>
      <w:r>
        <w:t xml:space="preserve">&gt; Reviewers were blind to the reference classification, blind to one another's judgments,</w:t>
      </w:r>
    </w:p>
    <w:p>
      <w:pPr>
        <w:pStyle w:val="Heading3"/>
        <w:spacing w:after="140"/>
      </w:pPr>
      <w:r>
        <w:t xml:space="preserve">Revision 5, applied</w:t>
      </w:r>
    </w:p>
    <w:p>
      <w:pPr>
        <w:spacing w:after="140"/>
      </w:pPr>
      <w:r>
        <w:rPr>
          <w:b/>
        </w:rPr>
        <w:t xml:space="preserve">Location.</w:t>
      </w:r>
      <w:r>
        <w:t xml:space="preserve"> Section 9, competing interests</w:t>
      </w:r>
    </w:p>
    <w:p>
      <w:pPr>
        <w:spacing w:after="140"/>
      </w:pPr>
      <w:r>
        <w:rPr>
          <w:b/>
        </w:rPr>
        <w:t xml:space="preserve">Original</w:t>
      </w:r>
    </w:p>
    <w:p>
      <w:pPr>
        <w:spacing w:after="140"/>
      </w:pPr>
      <w:r>
        <w:t xml:space="preserve">&gt; constructed the corpus, wrote the author-side answer key, recruited the panel,</w:t>
      </w:r>
    </w:p>
    <w:p>
      <w:pPr>
        <w:spacing w:after="140"/>
      </w:pPr>
      <w:r>
        <w:rPr>
          <w:b/>
        </w:rPr>
        <w:t xml:space="preserve">Replacement</w:t>
      </w:r>
    </w:p>
    <w:p>
      <w:pPr>
        <w:spacing w:after="140"/>
      </w:pPr>
      <w:r>
        <w:t xml:space="preserve">&gt; constructed the corpus, wrote the author-side reference classification, recruited the panel,</w:t>
      </w:r>
    </w:p>
    <w:p>
      <w:pPr>
        <w:pStyle w:val="Heading3"/>
        <w:spacing w:after="140"/>
      </w:pPr>
      <w:r>
        <w:t xml:space="preserve">Revision 5, applied</w:t>
      </w:r>
    </w:p>
    <w:p>
      <w:pPr>
        <w:spacing w:after="140"/>
      </w:pPr>
      <w:r>
        <w:rPr>
          <w:b/>
        </w:rPr>
        <w:t xml:space="preserve">Location.</w:t>
      </w:r>
      <w:r>
        <w:t xml:space="preserve"> Section 9, mitigations</w:t>
      </w:r>
    </w:p>
    <w:p>
      <w:pPr>
        <w:spacing w:after="140"/>
      </w:pPr>
      <w:r>
        <w:rPr>
          <w:b/>
        </w:rPr>
        <w:t xml:space="preserve">Original</w:t>
      </w:r>
    </w:p>
    <w:p>
      <w:pPr>
        <w:spacing w:after="140"/>
      </w:pPr>
      <w:r>
        <w:t xml:space="preserve">&gt; blind independent reproduction of the answer key by raters who did not see the hypotheses; reviewers blind to the key, to the corpus balance, and to one another;</w:t>
      </w:r>
    </w:p>
    <w:p>
      <w:pPr>
        <w:spacing w:after="140"/>
      </w:pPr>
      <w:r>
        <w:rPr>
          <w:b/>
        </w:rPr>
        <w:t xml:space="preserve">Replacement</w:t>
      </w:r>
    </w:p>
    <w:p>
      <w:pPr>
        <w:spacing w:after="140"/>
      </w:pPr>
      <w:r>
        <w:t xml:space="preserve">&gt; blind independent reproduction of the reference classification by raters not involved in corpus construction and who did not see the hypotheses; reviewers blind to that classification, to the corpus balance, and to one another;</w:t>
      </w:r>
    </w:p>
    <w:p>
      <w:pPr>
        <w:pStyle w:val="Heading3"/>
        <w:spacing w:after="140"/>
      </w:pPr>
      <w:r>
        <w:t xml:space="preserve">Revision 5, applied</w:t>
      </w:r>
    </w:p>
    <w:p>
      <w:pPr>
        <w:spacing w:after="140"/>
      </w:pPr>
      <w:r>
        <w:rPr>
          <w:b/>
        </w:rPr>
        <w:t xml:space="preserve">Location.</w:t>
      </w:r>
      <w:r>
        <w:t xml:space="preserve"> Data availability</w:t>
      </w:r>
    </w:p>
    <w:p>
      <w:pPr>
        <w:spacing w:after="140"/>
      </w:pPr>
      <w:r>
        <w:rPr>
          <w:b/>
        </w:rPr>
        <w:t xml:space="preserve">Original</w:t>
      </w:r>
    </w:p>
    <w:p>
      <w:pPr>
        <w:spacing w:after="140"/>
      </w:pPr>
      <w:r>
        <w:t xml:space="preserve">&gt; the full answer key with the reason and evidentiary defect or support for each classification</w:t>
      </w:r>
    </w:p>
    <w:p>
      <w:pPr>
        <w:spacing w:after="140"/>
      </w:pPr>
      <w:r>
        <w:rPr>
          <w:b/>
        </w:rPr>
        <w:t xml:space="preserve">Replacement</w:t>
      </w:r>
    </w:p>
    <w:p>
      <w:pPr>
        <w:spacing w:after="140"/>
      </w:pPr>
      <w:r>
        <w:t xml:space="preserve">&gt; the full reference classification with the reason and evidentiary defect or support for each record</w:t>
      </w:r>
    </w:p>
    <w:p>
      <w:pPr>
        <w:pStyle w:val="Heading3"/>
        <w:spacing w:after="140"/>
      </w:pPr>
      <w:r>
        <w:t xml:space="preserve">Revision 5, applied</w:t>
      </w:r>
    </w:p>
    <w:p>
      <w:pPr>
        <w:spacing w:after="140"/>
      </w:pPr>
      <w:r>
        <w:rPr>
          <w:b/>
        </w:rPr>
        <w:t xml:space="preserve">Location.</w:t>
      </w:r>
      <w:r>
        <w:t xml:space="preserve"> Appendix C, key-disclosure note</w:t>
      </w:r>
    </w:p>
    <w:p>
      <w:pPr>
        <w:spacing w:after="140"/>
      </w:pPr>
      <w:r>
        <w:rPr>
          <w:b/>
        </w:rPr>
        <w:t xml:space="preserve">Original</w:t>
      </w:r>
    </w:p>
    <w:p>
      <w:pPr>
        <w:spacing w:after="140"/>
      </w:pPr>
      <w:r>
        <w:t xml:space="preserve">&gt; Publishing accuracy next to the class would publish the answer key, which the data-availability terms release on request under the study's conditions rather than in the body of a paper.</w:t>
      </w:r>
    </w:p>
    <w:p>
      <w:pPr>
        <w:spacing w:after="140"/>
      </w:pPr>
      <w:r>
        <w:rPr>
          <w:b/>
        </w:rPr>
        <w:t xml:space="preserve">Replacement</w:t>
      </w:r>
    </w:p>
    <w:p>
      <w:pPr>
        <w:spacing w:after="140"/>
      </w:pPr>
      <w:r>
        <w:t xml:space="preserve">&gt; Publishing accuracy next to the class would publish the reference classification, which the data-availability terms release on request under the study's conditions rather than in the body of a paper.</w:t>
      </w:r>
    </w:p>
    <w:p>
      <w:pPr>
        <w:pStyle w:val="Heading3"/>
        <w:spacing w:after="140"/>
      </w:pPr>
      <w:r>
        <w:t xml:space="preserve">Revision 5, applied</w:t>
      </w:r>
    </w:p>
    <w:p>
      <w:pPr>
        <w:spacing w:after="140"/>
      </w:pPr>
      <w:r>
        <w:rPr>
          <w:b/>
        </w:rPr>
        <w:t xml:space="preserve">Location.</w:t>
      </w:r>
      <w:r>
        <w:t xml:space="preserve"> Section 4.7, pre-registered detection threshold</w:t>
      </w:r>
    </w:p>
    <w:p>
      <w:pPr>
        <w:spacing w:after="140"/>
      </w:pPr>
      <w:r>
        <w:rPr>
          <w:b/>
        </w:rPr>
        <w:t xml:space="preserve">Original</w:t>
      </w:r>
    </w:p>
    <w:p>
      <w:pPr>
        <w:spacing w:after="140"/>
      </w:pPr>
      <w:r>
        <w:t xml:space="preserve">&gt; </w:t>
      </w:r>
      <w:r>
        <w:rPr>
          <w:b/>
        </w:rPr>
        <w:t xml:space="preserve">Detection threshold (primary).</w:t>
      </w:r>
      <w:r>
        <w:t xml:space="preserve"> Agreement with the held-out key must exceed chance with the lower 95 percent bound above 0.50, and must reach a pre-set target of at least 0.70.</w:t>
      </w:r>
    </w:p>
    <w:p>
      <w:pPr>
        <w:spacing w:after="140"/>
      </w:pPr>
      <w:r>
        <w:rPr>
          <w:b/>
        </w:rPr>
        <w:t xml:space="preserve">Replacement</w:t>
      </w:r>
    </w:p>
    <w:p>
      <w:pPr>
        <w:spacing w:after="140"/>
      </w:pPr>
      <w:r>
        <w:t xml:space="preserve">&gt; </w:t>
      </w:r>
      <w:r>
        <w:rPr>
          <w:b/>
        </w:rPr>
        <w:t xml:space="preserve">Detection threshold (primary).</w:t>
      </w:r>
      <w:r>
        <w:t xml:space="preserve"> Agreement with the held-out reference classification must exceed chance with the lower 95 percent bound above 0.50, and must reach a pre-set target of at least 0.70.</w:t>
      </w:r>
    </w:p>
    <w:p>
      <w:pPr>
        <w:pStyle w:val="Heading3"/>
        <w:spacing w:after="140"/>
      </w:pPr>
      <w:r>
        <w:t xml:space="preserve">Revision 5, applied</w:t>
      </w:r>
    </w:p>
    <w:p>
      <w:pPr>
        <w:spacing w:after="140"/>
      </w:pPr>
      <w:r>
        <w:rPr>
          <w:b/>
        </w:rPr>
        <w:t xml:space="preserve">Location.</w:t>
      </w:r>
      <w:r>
        <w:t xml:space="preserve"> Abstract, reviewer blinding</w:t>
      </w:r>
    </w:p>
    <w:p>
      <w:pPr>
        <w:spacing w:after="140"/>
      </w:pPr>
      <w:r>
        <w:rPr>
          <w:b/>
        </w:rPr>
        <w:t xml:space="preserve">Original</w:t>
      </w:r>
    </w:p>
    <w:p>
      <w:pPr>
        <w:spacing w:after="140"/>
      </w:pPr>
      <w:r>
        <w:t xml:space="preserve">&gt; Reviewers worked independently, blind to the key and to one another, in a personal capacity.</w:t>
      </w:r>
    </w:p>
    <w:p>
      <w:pPr>
        <w:spacing w:after="140"/>
      </w:pPr>
      <w:r>
        <w:rPr>
          <w:b/>
        </w:rPr>
        <w:t xml:space="preserve">Replacement</w:t>
      </w:r>
    </w:p>
    <w:p>
      <w:pPr>
        <w:spacing w:after="140"/>
      </w:pPr>
      <w:r>
        <w:t xml:space="preserve">&gt; Reviewers worked independently, blind to that classification and to one another, in a personal capacity.</w:t>
      </w:r>
    </w:p>
    <w:p>
      <w:pPr>
        <w:pStyle w:val="Heading3"/>
        <w:spacing w:after="140"/>
      </w:pPr>
      <w:r>
        <w:t xml:space="preserve">Revision 5, applied</w:t>
      </w:r>
    </w:p>
    <w:p>
      <w:pPr>
        <w:spacing w:after="140"/>
      </w:pPr>
      <w:r>
        <w:rPr>
          <w:b/>
        </w:rPr>
        <w:t xml:space="preserve">Location.</w:t>
      </w:r>
      <w:r>
        <w:t xml:space="preserve"> Section 4.1 table, blinded detection row</w:t>
      </w:r>
    </w:p>
    <w:p>
      <w:pPr>
        <w:spacing w:after="140"/>
      </w:pPr>
      <w:r>
        <w:rPr>
          <w:b/>
        </w:rPr>
        <w:t xml:space="preserve">Original</w:t>
      </w:r>
    </w:p>
    <w:p>
      <w:pPr>
        <w:spacing w:after="140"/>
      </w:pPr>
      <w:r>
        <w:t xml:space="preserve">&gt; | Blinded detection | Independent judges, blind to the key | Section 4.5 |</w:t>
      </w:r>
    </w:p>
    <w:p>
      <w:pPr>
        <w:spacing w:after="140"/>
      </w:pPr>
      <w:r>
        <w:rPr>
          <w:b/>
        </w:rPr>
        <w:t xml:space="preserve">Replacement</w:t>
      </w:r>
    </w:p>
    <w:p>
      <w:pPr>
        <w:spacing w:after="140"/>
      </w:pPr>
      <w:r>
        <w:t xml:space="preserve">&gt; | Blinded detection | Independent judges, blind to the reference classification | Section 4.5 |</w:t>
      </w:r>
    </w:p>
    <w:p>
      <w:pPr>
        <w:pStyle w:val="Heading3"/>
        <w:spacing w:after="140"/>
      </w:pPr>
      <w:r>
        <w:t xml:space="preserve">Revision 5, applied</w:t>
      </w:r>
    </w:p>
    <w:p>
      <w:pPr>
        <w:spacing w:after="140"/>
      </w:pPr>
      <w:r>
        <w:rPr>
          <w:b/>
        </w:rPr>
        <w:t xml:space="preserve">Location.</w:t>
      </w:r>
      <w:r>
        <w:t xml:space="preserve"> Section 4.4, rater briefing</w:t>
      </w:r>
    </w:p>
    <w:p>
      <w:pPr>
        <w:spacing w:after="140"/>
      </w:pPr>
      <w:r>
        <w:rPr>
          <w:b/>
        </w:rPr>
        <w:t xml:space="preserve">Original</w:t>
      </w:r>
    </w:p>
    <w:p>
      <w:pPr>
        <w:spacing w:after="140"/>
      </w:pPr>
      <w:r>
        <w:t xml:space="preserve">&gt; did not see the author-side classification, and were not told that a key existed to be recovered.</w:t>
      </w:r>
    </w:p>
    <w:p>
      <w:pPr>
        <w:spacing w:after="140"/>
      </w:pPr>
      <w:r>
        <w:rPr>
          <w:b/>
        </w:rPr>
        <w:t xml:space="preserve">Replacement</w:t>
      </w:r>
    </w:p>
    <w:p>
      <w:pPr>
        <w:spacing w:after="140"/>
      </w:pPr>
      <w:r>
        <w:t xml:space="preserve">&gt; did not see the author-side classification, and were not told that a reference classification existed to be recovered.</w:t>
      </w:r>
    </w:p>
    <w:p>
      <w:pPr>
        <w:pStyle w:val="Heading3"/>
        <w:spacing w:after="140"/>
      </w:pPr>
      <w:r>
        <w:t xml:space="preserve">Revision 5, applied</w:t>
      </w:r>
    </w:p>
    <w:p>
      <w:pPr>
        <w:spacing w:after="140"/>
      </w:pPr>
      <w:r>
        <w:rPr>
          <w:b/>
        </w:rPr>
        <w:t xml:space="preserve">Location.</w:t>
      </w:r>
      <w:r>
        <w:t xml:space="preserve"> Section 4.4, disclosure</w:t>
      </w:r>
    </w:p>
    <w:p>
      <w:pPr>
        <w:spacing w:after="140"/>
      </w:pPr>
      <w:r>
        <w:rPr>
          <w:b/>
        </w:rPr>
        <w:t xml:space="preserve">Original</w:t>
      </w:r>
    </w:p>
    <w:p>
      <w:pPr>
        <w:spacing w:after="140"/>
      </w:pPr>
      <w:r>
        <w:t xml:space="preserve">&gt; Nothing about the key is withheld from a reader who wants to test it.</w:t>
      </w:r>
    </w:p>
    <w:p>
      <w:pPr>
        <w:spacing w:after="140"/>
      </w:pPr>
      <w:r>
        <w:rPr>
          <w:b/>
        </w:rPr>
        <w:t xml:space="preserve">Replacement</w:t>
      </w:r>
    </w:p>
    <w:p>
      <w:pPr>
        <w:spacing w:after="140"/>
      </w:pPr>
      <w:r>
        <w:t xml:space="preserve">&gt; Nothing about the reference classification is withheld from a reader who wants to test it.</w:t>
      </w:r>
    </w:p>
    <w:p>
      <w:pPr>
        <w:pStyle w:val="Heading3"/>
        <w:spacing w:after="140"/>
      </w:pPr>
      <w:r>
        <w:t xml:space="preserve">Revision 5, applied</w:t>
      </w:r>
    </w:p>
    <w:p>
      <w:pPr>
        <w:spacing w:after="140"/>
      </w:pPr>
      <w:r>
        <w:rPr>
          <w:b/>
        </w:rPr>
        <w:t xml:space="preserve">Location.</w:t>
      </w:r>
      <w:r>
        <w:t xml:space="preserve"> Section 8.1, author-generated corpus</w:t>
      </w:r>
    </w:p>
    <w:p>
      <w:pPr>
        <w:spacing w:after="140"/>
      </w:pPr>
      <w:r>
        <w:rPr>
          <w:b/>
        </w:rPr>
        <w:t xml:space="preserve">Original</w:t>
      </w:r>
    </w:p>
    <w:p>
      <w:pPr>
        <w:spacing w:after="140"/>
      </w:pPr>
      <w:r>
        <w:t xml:space="preserve">&gt; Blind reproduction of the key rules out fitting the key to the results; it does not make the corpus independent of the</w:t>
      </w:r>
    </w:p>
    <w:p>
      <w:pPr>
        <w:spacing w:after="140"/>
      </w:pPr>
      <w:r>
        <w:rPr>
          <w:b/>
        </w:rPr>
        <w:t xml:space="preserve">Replacement</w:t>
      </w:r>
    </w:p>
    <w:p>
      <w:pPr>
        <w:spacing w:after="140"/>
      </w:pPr>
      <w:r>
        <w:t xml:space="preserve">&gt; Blind reproduction of the reference classification rules out fitting it to the results; it does not make the corpus independent of the</w:t>
      </w:r>
    </w:p>
    <w:p>
      <w:pPr>
        <w:pStyle w:val="Heading3"/>
        <w:spacing w:after="140"/>
      </w:pPr>
      <w:r>
        <w:t xml:space="preserve">Revision 5, applied</w:t>
      </w:r>
    </w:p>
    <w:p>
      <w:pPr>
        <w:spacing w:after="140"/>
      </w:pPr>
      <w:r>
        <w:rPr>
          <w:b/>
        </w:rPr>
        <w:t xml:space="preserve">Location.</w:t>
      </w:r>
      <w:r>
        <w:t xml:space="preserve"> Section 9, roles held</w:t>
      </w:r>
    </w:p>
    <w:p>
      <w:pPr>
        <w:spacing w:after="140"/>
      </w:pPr>
      <w:r>
        <w:rPr>
          <w:b/>
        </w:rPr>
        <w:t xml:space="preserve">Original</w:t>
      </w:r>
    </w:p>
    <w:p>
      <w:pPr>
        <w:spacing w:after="140"/>
      </w:pPr>
      <w:r>
        <w:t xml:space="preserve">&gt; defined the construct, built the instrument, generated the cases, established the key, recruited the participants,</w:t>
      </w:r>
    </w:p>
    <w:p>
      <w:pPr>
        <w:spacing w:after="140"/>
      </w:pPr>
      <w:r>
        <w:rPr>
          <w:b/>
        </w:rPr>
        <w:t xml:space="preserve">Replacement</w:t>
      </w:r>
    </w:p>
    <w:p>
      <w:pPr>
        <w:spacing w:after="140"/>
      </w:pPr>
      <w:r>
        <w:t xml:space="preserve">&gt; defined the construct, built the instrument, generated the cases, established the reference classification, recruited the participants,</w:t>
      </w:r>
    </w:p>
    <w:p>
      <w:pPr>
        <w:pStyle w:val="Heading3"/>
        <w:spacing w:after="140"/>
      </w:pPr>
      <w:r>
        <w:t xml:space="preserve">Revision 6, applied</w:t>
      </w:r>
    </w:p>
    <w:p>
      <w:pPr>
        <w:spacing w:after="140"/>
      </w:pPr>
      <w:r>
        <w:rPr>
          <w:b/>
        </w:rPr>
        <w:t xml:space="preserve">Location.</w:t>
      </w:r>
      <w:r>
        <w:t xml:space="preserve"> Section 7, Discussion, positive JRS positioning</w:t>
      </w:r>
    </w:p>
    <w:p>
      <w:pPr>
        <w:spacing w:after="140"/>
      </w:pPr>
      <w:r>
        <w:rPr>
          <w:b/>
        </w:rPr>
        <w:t xml:space="preserve">Original</w:t>
      </w:r>
    </w:p>
    <w:p>
      <w:pPr>
        <w:spacing w:after="140"/>
      </w:pPr>
      <w:r>
        <w:t xml:space="preserve">&gt; The contribution is that the operationalised Decision Reconstruction Risk distinction is detectable by independent experts on a corpus constructed at the ends of the severity range. That is the precondition for everything downstream: a documentation property experienced reviewers cannot identify is not a governable property, and a control built on human review of it would rest on nothing.</w:t>
      </w:r>
    </w:p>
    <w:p>
      <w:pPr>
        <w:spacing w:after="140"/>
      </w:pPr>
      <w:r>
        <w:rPr>
          <w:b/>
        </w:rPr>
        <w:t xml:space="preserve">Replacement</w:t>
      </w:r>
    </w:p>
    <w:p>
      <w:pPr>
        <w:spacing w:after="140"/>
      </w:pPr>
      <w:r>
        <w:t xml:space="preserve">&gt; The contribution is that the operationalised Decision Reconstruction Risk distinction is detectable by independent experts on a corpus constructed at the ends of the severity range. That is the precondition for everything downstream: a documentation property experienced reviewers cannot identify is not a governable property, and a control built on human review of it would rest on nothing. For JRS, the result should therefore be read as evidence supporting the feasibility of its underlying review logic, not as evidence that JRS itself improves documentation outcomes.</w:t>
      </w:r>
    </w:p>
    <w:p>
      <w:pPr>
        <w:pStyle w:val="Heading2"/>
        <w:spacing w:after="140"/>
      </w:pPr>
      <w:r>
        <w:t xml:space="preserve">Numerical integrity verification</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Value</w:t>
            </w:r>
          </w:p>
        </w:tc>
        <w:tc>
          <w:tcPr>
            <w:tcW w:w="3120" w:type="dxa"/>
          </w:tcPr>
          <w:p>
            <w:pPr>
              <w:spacing w:after="0"/>
            </w:pPr>
            <w:r>
              <w:t xml:space="preserve">Expected</w:t>
            </w:r>
          </w:p>
        </w:tc>
        <w:tc>
          <w:tcPr>
            <w:tcW w:w="3120" w:type="dxa"/>
          </w:tcPr>
          <w:p>
            <w:pPr>
              <w:spacing w:after="0"/>
            </w:pPr>
            <w:r>
              <w:t xml:space="preserve">Present</w:t>
            </w:r>
          </w:p>
        </w:tc>
      </w:tr>
      <w:tr>
        <w:tc>
          <w:tcPr>
            <w:tcW w:w="3120" w:type="dxa"/>
          </w:tcPr>
          <w:p>
            <w:pPr>
              <w:spacing w:after="0"/>
            </w:pPr>
            <w:r>
              <w:t xml:space="preserve">Participants</w:t>
            </w:r>
          </w:p>
        </w:tc>
        <w:tc>
          <w:tcPr>
            <w:tcW w:w="3120" w:type="dxa"/>
          </w:tcPr>
          <w:p>
            <w:pPr>
              <w:spacing w:after="0"/>
            </w:pPr>
            <w:r>
              <w:rPr>
                <w:rFonts w:ascii="Consolas" w:hAnsi="Consolas"/>
              </w:rPr>
              <w:t xml:space="preserve">16</w:t>
            </w:r>
          </w:p>
        </w:tc>
        <w:tc>
          <w:tcPr>
            <w:tcW w:w="3120" w:type="dxa"/>
          </w:tcPr>
          <w:p>
            <w:pPr>
              <w:spacing w:after="0"/>
            </w:pPr>
            <w:r>
              <w:t xml:space="preserve">yes</w:t>
            </w:r>
          </w:p>
        </w:tc>
      </w:tr>
      <w:tr>
        <w:tc>
          <w:tcPr>
            <w:tcW w:w="3120" w:type="dxa"/>
          </w:tcPr>
          <w:p>
            <w:pPr>
              <w:spacing w:after="0"/>
            </w:pPr>
            <w:r>
              <w:t xml:space="preserve">Countries</w:t>
            </w:r>
          </w:p>
        </w:tc>
        <w:tc>
          <w:tcPr>
            <w:tcW w:w="3120" w:type="dxa"/>
          </w:tcPr>
          <w:p>
            <w:pPr>
              <w:spacing w:after="0"/>
            </w:pPr>
            <w:r>
              <w:rPr>
                <w:rFonts w:ascii="Consolas" w:hAnsi="Consolas"/>
              </w:rPr>
              <w:t xml:space="preserve">11</w:t>
            </w:r>
          </w:p>
        </w:tc>
        <w:tc>
          <w:tcPr>
            <w:tcW w:w="3120" w:type="dxa"/>
          </w:tcPr>
          <w:p>
            <w:pPr>
              <w:spacing w:after="0"/>
            </w:pPr>
            <w:r>
              <w:t xml:space="preserve">yes</w:t>
            </w:r>
          </w:p>
        </w:tc>
      </w:tr>
      <w:tr>
        <w:tc>
          <w:tcPr>
            <w:tcW w:w="3120" w:type="dxa"/>
          </w:tcPr>
          <w:p>
            <w:pPr>
              <w:spacing w:after="0"/>
            </w:pPr>
            <w:r>
              <w:t xml:space="preserve">Records</w:t>
            </w:r>
          </w:p>
        </w:tc>
        <w:tc>
          <w:tcPr>
            <w:tcW w:w="3120" w:type="dxa"/>
          </w:tcPr>
          <w:p>
            <w:pPr>
              <w:spacing w:after="0"/>
            </w:pPr>
            <w:r>
              <w:rPr>
                <w:rFonts w:ascii="Consolas" w:hAnsi="Consolas"/>
              </w:rPr>
              <w:t xml:space="preserve">24</w:t>
            </w:r>
          </w:p>
        </w:tc>
        <w:tc>
          <w:tcPr>
            <w:tcW w:w="3120" w:type="dxa"/>
          </w:tcPr>
          <w:p>
            <w:pPr>
              <w:spacing w:after="0"/>
            </w:pPr>
            <w:r>
              <w:t xml:space="preserve">yes</w:t>
            </w:r>
          </w:p>
        </w:tc>
      </w:tr>
      <w:tr>
        <w:tc>
          <w:tcPr>
            <w:tcW w:w="3120" w:type="dxa"/>
          </w:tcPr>
          <w:p>
            <w:pPr>
              <w:spacing w:after="0"/>
            </w:pPr>
            <w:r>
              <w:t xml:space="preserve">Graded reads</w:t>
            </w:r>
          </w:p>
        </w:tc>
        <w:tc>
          <w:tcPr>
            <w:tcW w:w="3120" w:type="dxa"/>
          </w:tcPr>
          <w:p>
            <w:pPr>
              <w:spacing w:after="0"/>
            </w:pPr>
            <w:r>
              <w:rPr>
                <w:rFonts w:ascii="Consolas" w:hAnsi="Consolas"/>
              </w:rPr>
              <w:t xml:space="preserve">384</w:t>
            </w:r>
          </w:p>
        </w:tc>
        <w:tc>
          <w:tcPr>
            <w:tcW w:w="3120" w:type="dxa"/>
          </w:tcPr>
          <w:p>
            <w:pPr>
              <w:spacing w:after="0"/>
            </w:pPr>
            <w:r>
              <w:t xml:space="preserve">yes</w:t>
            </w:r>
          </w:p>
        </w:tc>
      </w:tr>
      <w:tr>
        <w:tc>
          <w:tcPr>
            <w:tcW w:w="3120" w:type="dxa"/>
          </w:tcPr>
          <w:p>
            <w:pPr>
              <w:spacing w:after="0"/>
            </w:pPr>
            <w:r>
              <w:t xml:space="preserve">Accuracy</w:t>
            </w:r>
          </w:p>
        </w:tc>
        <w:tc>
          <w:tcPr>
            <w:tcW w:w="3120" w:type="dxa"/>
          </w:tcPr>
          <w:p>
            <w:pPr>
              <w:spacing w:after="0"/>
            </w:pPr>
            <w:r>
              <w:rPr>
                <w:rFonts w:ascii="Consolas" w:hAnsi="Consolas"/>
              </w:rPr>
              <w:t xml:space="preserve">83.9</w:t>
            </w:r>
          </w:p>
        </w:tc>
        <w:tc>
          <w:tcPr>
            <w:tcW w:w="3120" w:type="dxa"/>
          </w:tcPr>
          <w:p>
            <w:pPr>
              <w:spacing w:after="0"/>
            </w:pPr>
            <w:r>
              <w:t xml:space="preserve">yes</w:t>
            </w:r>
          </w:p>
        </w:tc>
      </w:tr>
      <w:tr>
        <w:tc>
          <w:tcPr>
            <w:tcW w:w="3120" w:type="dxa"/>
          </w:tcPr>
          <w:p>
            <w:pPr>
              <w:spacing w:after="0"/>
            </w:pPr>
            <w:r>
              <w:t xml:space="preserve">95% CI low</w:t>
            </w:r>
          </w:p>
        </w:tc>
        <w:tc>
          <w:tcPr>
            <w:tcW w:w="3120" w:type="dxa"/>
          </w:tcPr>
          <w:p>
            <w:pPr>
              <w:spacing w:after="0"/>
            </w:pPr>
            <w:r>
              <w:rPr>
                <w:rFonts w:ascii="Consolas" w:hAnsi="Consolas"/>
              </w:rPr>
              <w:t xml:space="preserve">72.7</w:t>
            </w:r>
          </w:p>
        </w:tc>
        <w:tc>
          <w:tcPr>
            <w:tcW w:w="3120" w:type="dxa"/>
          </w:tcPr>
          <w:p>
            <w:pPr>
              <w:spacing w:after="0"/>
            </w:pPr>
            <w:r>
              <w:t xml:space="preserve">yes</w:t>
            </w:r>
          </w:p>
        </w:tc>
      </w:tr>
      <w:tr>
        <w:tc>
          <w:tcPr>
            <w:tcW w:w="3120" w:type="dxa"/>
          </w:tcPr>
          <w:p>
            <w:pPr>
              <w:spacing w:after="0"/>
            </w:pPr>
            <w:r>
              <w:t xml:space="preserve">95% CI high</w:t>
            </w:r>
          </w:p>
        </w:tc>
        <w:tc>
          <w:tcPr>
            <w:tcW w:w="3120" w:type="dxa"/>
          </w:tcPr>
          <w:p>
            <w:pPr>
              <w:spacing w:after="0"/>
            </w:pPr>
            <w:r>
              <w:rPr>
                <w:rFonts w:ascii="Consolas" w:hAnsi="Consolas"/>
              </w:rPr>
              <w:t xml:space="preserve">95.1</w:t>
            </w:r>
          </w:p>
        </w:tc>
        <w:tc>
          <w:tcPr>
            <w:tcW w:w="3120" w:type="dxa"/>
          </w:tcPr>
          <w:p>
            <w:pPr>
              <w:spacing w:after="0"/>
            </w:pPr>
            <w:r>
              <w:t xml:space="preserve">yes</w:t>
            </w:r>
          </w:p>
        </w:tc>
      </w:tr>
      <w:tr>
        <w:tc>
          <w:tcPr>
            <w:tcW w:w="3120" w:type="dxa"/>
          </w:tcPr>
          <w:p>
            <w:pPr>
              <w:spacing w:after="0"/>
            </w:pPr>
            <w:r>
              <w:t xml:space="preserve">Sensitivity</w:t>
            </w:r>
          </w:p>
        </w:tc>
        <w:tc>
          <w:tcPr>
            <w:tcW w:w="3120" w:type="dxa"/>
          </w:tcPr>
          <w:p>
            <w:pPr>
              <w:spacing w:after="0"/>
            </w:pPr>
            <w:r>
              <w:rPr>
                <w:rFonts w:ascii="Consolas" w:hAnsi="Consolas"/>
              </w:rPr>
              <w:t xml:space="preserve">87.0</w:t>
            </w:r>
          </w:p>
        </w:tc>
        <w:tc>
          <w:tcPr>
            <w:tcW w:w="3120" w:type="dxa"/>
          </w:tcPr>
          <w:p>
            <w:pPr>
              <w:spacing w:after="0"/>
            </w:pPr>
            <w:r>
              <w:t xml:space="preserve">yes</w:t>
            </w:r>
          </w:p>
        </w:tc>
      </w:tr>
      <w:tr>
        <w:tc>
          <w:tcPr>
            <w:tcW w:w="3120" w:type="dxa"/>
          </w:tcPr>
          <w:p>
            <w:pPr>
              <w:spacing w:after="0"/>
            </w:pPr>
            <w:r>
              <w:t xml:space="preserve">Specificity</w:t>
            </w:r>
          </w:p>
        </w:tc>
        <w:tc>
          <w:tcPr>
            <w:tcW w:w="3120" w:type="dxa"/>
          </w:tcPr>
          <w:p>
            <w:pPr>
              <w:spacing w:after="0"/>
            </w:pPr>
            <w:r>
              <w:rPr>
                <w:rFonts w:ascii="Consolas" w:hAnsi="Consolas"/>
              </w:rPr>
              <w:t xml:space="preserve">80.7</w:t>
            </w:r>
          </w:p>
        </w:tc>
        <w:tc>
          <w:tcPr>
            <w:tcW w:w="3120" w:type="dxa"/>
          </w:tcPr>
          <w:p>
            <w:pPr>
              <w:spacing w:after="0"/>
            </w:pPr>
            <w:r>
              <w:t xml:space="preserve">yes</w:t>
            </w:r>
          </w:p>
        </w:tc>
      </w:tr>
      <w:tr>
        <w:tc>
          <w:tcPr>
            <w:tcW w:w="3120" w:type="dxa"/>
          </w:tcPr>
          <w:p>
            <w:pPr>
              <w:spacing w:after="0"/>
            </w:pPr>
            <w:r>
              <w:t xml:space="preserve">Perfect reviewers</w:t>
            </w:r>
          </w:p>
        </w:tc>
        <w:tc>
          <w:tcPr>
            <w:tcW w:w="3120" w:type="dxa"/>
          </w:tcPr>
          <w:p>
            <w:pPr>
              <w:spacing w:after="0"/>
            </w:pPr>
            <w:r>
              <w:rPr>
                <w:rFonts w:ascii="Consolas" w:hAnsi="Consolas"/>
              </w:rPr>
              <w:t xml:space="preserve">6 of 16</w:t>
            </w:r>
          </w:p>
        </w:tc>
        <w:tc>
          <w:tcPr>
            <w:tcW w:w="3120" w:type="dxa"/>
          </w:tcPr>
          <w:p>
            <w:pPr>
              <w:spacing w:after="0"/>
            </w:pPr>
            <w:r>
              <w:t xml:space="preserve">yes</w:t>
            </w:r>
          </w:p>
        </w:tc>
      </w:tr>
      <w:tr>
        <w:tc>
          <w:tcPr>
            <w:tcW w:w="3120" w:type="dxa"/>
          </w:tcPr>
          <w:p>
            <w:pPr>
              <w:spacing w:after="0"/>
            </w:pPr>
            <w:r>
              <w:t xml:space="preserve">Reviewer range low</w:t>
            </w:r>
          </w:p>
        </w:tc>
        <w:tc>
          <w:tcPr>
            <w:tcW w:w="3120" w:type="dxa"/>
          </w:tcPr>
          <w:p>
            <w:pPr>
              <w:spacing w:after="0"/>
            </w:pPr>
            <w:r>
              <w:rPr>
                <w:rFonts w:ascii="Consolas" w:hAnsi="Consolas"/>
              </w:rPr>
              <w:t xml:space="preserve">37.5</w:t>
            </w:r>
          </w:p>
        </w:tc>
        <w:tc>
          <w:tcPr>
            <w:tcW w:w="3120" w:type="dxa"/>
          </w:tcPr>
          <w:p>
            <w:pPr>
              <w:spacing w:after="0"/>
            </w:pPr>
            <w:r>
              <w:t xml:space="preserve">yes</w:t>
            </w:r>
          </w:p>
        </w:tc>
      </w:tr>
      <w:tr>
        <w:tc>
          <w:tcPr>
            <w:tcW w:w="3120" w:type="dxa"/>
          </w:tcPr>
          <w:p>
            <w:pPr>
              <w:spacing w:after="0"/>
            </w:pPr>
            <w:r>
              <w:t xml:space="preserve">Reviewer range high</w:t>
            </w:r>
          </w:p>
        </w:tc>
        <w:tc>
          <w:tcPr>
            <w:tcW w:w="3120" w:type="dxa"/>
          </w:tcPr>
          <w:p>
            <w:pPr>
              <w:spacing w:after="0"/>
            </w:pPr>
            <w:r>
              <w:rPr>
                <w:rFonts w:ascii="Consolas" w:hAnsi="Consolas"/>
              </w:rPr>
              <w:t xml:space="preserve">100</w:t>
            </w:r>
          </w:p>
        </w:tc>
        <w:tc>
          <w:tcPr>
            <w:tcW w:w="3120" w:type="dxa"/>
          </w:tcPr>
          <w:p>
            <w:pPr>
              <w:spacing w:after="0"/>
            </w:pPr>
            <w:r>
              <w:t xml:space="preserve">yes</w:t>
            </w:r>
          </w:p>
        </w:tc>
      </w:tr>
      <w:tr>
        <w:tc>
          <w:tcPr>
            <w:tcW w:w="3120" w:type="dxa"/>
          </w:tcPr>
          <w:p>
            <w:pPr>
              <w:spacing w:after="0"/>
            </w:pPr>
            <w:r>
              <w:t xml:space="preserve">Record range</w:t>
            </w:r>
          </w:p>
        </w:tc>
        <w:tc>
          <w:tcPr>
            <w:tcW w:w="3120" w:type="dxa"/>
          </w:tcPr>
          <w:p>
            <w:pPr>
              <w:spacing w:after="0"/>
            </w:pPr>
            <w:r>
              <w:rPr>
                <w:rFonts w:ascii="Consolas" w:hAnsi="Consolas"/>
              </w:rPr>
              <w:t xml:space="preserve">62.5 to 93.8</w:t>
            </w:r>
          </w:p>
        </w:tc>
        <w:tc>
          <w:tcPr>
            <w:tcW w:w="3120" w:type="dxa"/>
          </w:tcPr>
          <w:p>
            <w:pPr>
              <w:spacing w:after="0"/>
            </w:pPr>
            <w:r>
              <w:t xml:space="preserve">yes</w:t>
            </w:r>
          </w:p>
        </w:tc>
      </w:tr>
      <w:tr>
        <w:tc>
          <w:tcPr>
            <w:tcW w:w="3120" w:type="dxa"/>
          </w:tcPr>
          <w:p>
            <w:pPr>
              <w:spacing w:after="0"/>
            </w:pPr>
            <w:r>
              <w:t xml:space="preserve">Expert AC1</w:t>
            </w:r>
          </w:p>
        </w:tc>
        <w:tc>
          <w:tcPr>
            <w:tcW w:w="3120" w:type="dxa"/>
          </w:tcPr>
          <w:p>
            <w:pPr>
              <w:spacing w:after="0"/>
            </w:pPr>
            <w:r>
              <w:rPr>
                <w:rFonts w:ascii="Consolas" w:hAnsi="Consolas"/>
              </w:rPr>
              <w:t xml:space="preserve">0.739</w:t>
            </w:r>
          </w:p>
        </w:tc>
        <w:tc>
          <w:tcPr>
            <w:tcW w:w="3120" w:type="dxa"/>
          </w:tcPr>
          <w:p>
            <w:pPr>
              <w:spacing w:after="0"/>
            </w:pPr>
            <w:r>
              <w:t xml:space="preserve">yes</w:t>
            </w:r>
          </w:p>
        </w:tc>
      </w:tr>
      <w:tr>
        <w:tc>
          <w:tcPr>
            <w:tcW w:w="3120" w:type="dxa"/>
          </w:tcPr>
          <w:p>
            <w:pPr>
              <w:spacing w:after="0"/>
            </w:pPr>
            <w:r>
              <w:t xml:space="preserve">Expert AC1 CI low</w:t>
            </w:r>
          </w:p>
        </w:tc>
        <w:tc>
          <w:tcPr>
            <w:tcW w:w="3120" w:type="dxa"/>
          </w:tcPr>
          <w:p>
            <w:pPr>
              <w:spacing w:after="0"/>
            </w:pPr>
            <w:r>
              <w:rPr>
                <w:rFonts w:ascii="Consolas" w:hAnsi="Consolas"/>
              </w:rPr>
              <w:t xml:space="preserve">0.402</w:t>
            </w:r>
          </w:p>
        </w:tc>
        <w:tc>
          <w:tcPr>
            <w:tcW w:w="3120" w:type="dxa"/>
          </w:tcPr>
          <w:p>
            <w:pPr>
              <w:spacing w:after="0"/>
            </w:pPr>
            <w:r>
              <w:t xml:space="preserve">yes</w:t>
            </w:r>
          </w:p>
        </w:tc>
      </w:tr>
      <w:tr>
        <w:tc>
          <w:tcPr>
            <w:tcW w:w="3120" w:type="dxa"/>
          </w:tcPr>
          <w:p>
            <w:pPr>
              <w:spacing w:after="0"/>
            </w:pPr>
            <w:r>
              <w:t xml:space="preserve">Expert AC1 CI high</w:t>
            </w:r>
          </w:p>
        </w:tc>
        <w:tc>
          <w:tcPr>
            <w:tcW w:w="3120" w:type="dxa"/>
          </w:tcPr>
          <w:p>
            <w:pPr>
              <w:spacing w:after="0"/>
            </w:pPr>
            <w:r>
              <w:rPr>
                <w:rFonts w:ascii="Consolas" w:hAnsi="Consolas"/>
              </w:rPr>
              <w:t xml:space="preserve">1.000</w:t>
            </w:r>
          </w:p>
        </w:tc>
        <w:tc>
          <w:tcPr>
            <w:tcW w:w="3120" w:type="dxa"/>
          </w:tcPr>
          <w:p>
            <w:pPr>
              <w:spacing w:after="0"/>
            </w:pPr>
            <w:r>
              <w:t xml:space="preserve">yes</w:t>
            </w:r>
          </w:p>
        </w:tc>
      </w:tr>
      <w:tr>
        <w:tc>
          <w:tcPr>
            <w:tcW w:w="3120" w:type="dxa"/>
          </w:tcPr>
          <w:p>
            <w:pPr>
              <w:spacing w:after="0"/>
            </w:pPr>
            <w:r>
              <w:t xml:space="preserve">Appendix B determinations</w:t>
            </w:r>
          </w:p>
        </w:tc>
        <w:tc>
          <w:tcPr>
            <w:tcW w:w="3120" w:type="dxa"/>
          </w:tcPr>
          <w:p>
            <w:pPr>
              <w:spacing w:after="0"/>
            </w:pPr>
            <w:r>
              <w:rPr>
                <w:rFonts w:ascii="Consolas" w:hAnsi="Consolas"/>
              </w:rPr>
              <w:t xml:space="preserve">113 overall determinations</w:t>
            </w:r>
          </w:p>
        </w:tc>
        <w:tc>
          <w:tcPr>
            <w:tcW w:w="3120" w:type="dxa"/>
          </w:tcPr>
          <w:p>
            <w:pPr>
              <w:spacing w:after="0"/>
            </w:pPr>
            <w:r>
              <w:t xml:space="preserve">yes</w:t>
            </w:r>
          </w:p>
        </w:tc>
      </w:tr>
      <w:tr>
        <w:tc>
          <w:tcPr>
            <w:tcW w:w="3120" w:type="dxa"/>
          </w:tcPr>
          <w:p>
            <w:pPr>
              <w:spacing w:after="0"/>
            </w:pPr>
            <w:r>
              <w:t xml:space="preserve">Appendix B condition labels</w:t>
            </w:r>
          </w:p>
        </w:tc>
        <w:tc>
          <w:tcPr>
            <w:tcW w:w="3120" w:type="dxa"/>
          </w:tcPr>
          <w:p>
            <w:pPr>
              <w:spacing w:after="0"/>
            </w:pPr>
            <w:r>
              <w:rPr>
                <w:rFonts w:ascii="Consolas" w:hAnsi="Consolas"/>
              </w:rPr>
              <w:t xml:space="preserve">565 condition-level labels</w:t>
            </w:r>
          </w:p>
        </w:tc>
        <w:tc>
          <w:tcPr>
            <w:tcW w:w="3120" w:type="dxa"/>
          </w:tcPr>
          <w:p>
            <w:pPr>
              <w:spacing w:after="0"/>
            </w:pPr>
            <w:r>
              <w:t xml:space="preserve">yes</w:t>
            </w:r>
          </w:p>
        </w:tc>
      </w:tr>
      <w:tr>
        <w:tc>
          <w:tcPr>
            <w:tcW w:w="3120" w:type="dxa"/>
          </w:tcPr>
          <w:p>
            <w:pPr>
              <w:spacing w:after="0"/>
            </w:pPr>
            <w:r>
              <w:t xml:space="preserve">Lowest-level labels</w:t>
            </w:r>
          </w:p>
        </w:tc>
        <w:tc>
          <w:tcPr>
            <w:tcW w:w="3120" w:type="dxa"/>
          </w:tcPr>
          <w:p>
            <w:pPr>
              <w:spacing w:after="0"/>
            </w:pPr>
            <w:r>
              <w:rPr>
                <w:rFonts w:ascii="Consolas" w:hAnsi="Consolas"/>
              </w:rPr>
              <w:t xml:space="preserve">216</w:t>
            </w:r>
          </w:p>
        </w:tc>
        <w:tc>
          <w:tcPr>
            <w:tcW w:w="3120" w:type="dxa"/>
          </w:tcPr>
          <w:p>
            <w:pPr>
              <w:spacing w:after="0"/>
            </w:pPr>
            <w:r>
              <w:t xml:space="preserve">yes</w:t>
            </w:r>
          </w:p>
        </w:tc>
      </w:tr>
      <w:tr>
        <w:tc>
          <w:tcPr>
            <w:tcW w:w="3120" w:type="dxa"/>
          </w:tcPr>
          <w:p>
            <w:pPr>
              <w:spacing w:after="0"/>
            </w:pPr>
            <w:r>
              <w:t xml:space="preserve">Middle-level labels</w:t>
            </w:r>
          </w:p>
        </w:tc>
        <w:tc>
          <w:tcPr>
            <w:tcW w:w="3120" w:type="dxa"/>
          </w:tcPr>
          <w:p>
            <w:pPr>
              <w:spacing w:after="0"/>
            </w:pPr>
            <w:r>
              <w:rPr>
                <w:rFonts w:ascii="Consolas" w:hAnsi="Consolas"/>
              </w:rPr>
              <w:t xml:space="preserve">142</w:t>
            </w:r>
          </w:p>
        </w:tc>
        <w:tc>
          <w:tcPr>
            <w:tcW w:w="3120" w:type="dxa"/>
          </w:tcPr>
          <w:p>
            <w:pPr>
              <w:spacing w:after="0"/>
            </w:pPr>
            <w:r>
              <w:t xml:space="preserve">yes</w:t>
            </w:r>
          </w:p>
        </w:tc>
      </w:tr>
      <w:tr>
        <w:tc>
          <w:tcPr>
            <w:tcW w:w="3120" w:type="dxa"/>
          </w:tcPr>
          <w:p>
            <w:pPr>
              <w:spacing w:after="0"/>
            </w:pPr>
            <w:r>
              <w:t xml:space="preserve">Pass-level labels</w:t>
            </w:r>
          </w:p>
        </w:tc>
        <w:tc>
          <w:tcPr>
            <w:tcW w:w="3120" w:type="dxa"/>
          </w:tcPr>
          <w:p>
            <w:pPr>
              <w:spacing w:after="0"/>
            </w:pPr>
            <w:r>
              <w:rPr>
                <w:rFonts w:ascii="Consolas" w:hAnsi="Consolas"/>
              </w:rPr>
              <w:t xml:space="preserve">207</w:t>
            </w:r>
          </w:p>
        </w:tc>
        <w:tc>
          <w:tcPr>
            <w:tcW w:w="3120" w:type="dxa"/>
          </w:tcPr>
          <w:p>
            <w:pPr>
              <w:spacing w:after="0"/>
            </w:pPr>
            <w:r>
              <w:t xml:space="preserve">yes</w:t>
            </w:r>
          </w:p>
        </w:tc>
      </w:tr>
      <w:tr>
        <w:tc>
          <w:tcPr>
            <w:tcW w:w="3120" w:type="dxa"/>
          </w:tcPr>
          <w:p>
            <w:pPr>
              <w:spacing w:after="0"/>
            </w:pPr>
            <w:r>
              <w:t xml:space="preserve">Trained AC1 (manuscript and database)</w:t>
            </w:r>
          </w:p>
        </w:tc>
        <w:tc>
          <w:tcPr>
            <w:tcW w:w="3120" w:type="dxa"/>
          </w:tcPr>
          <w:p>
            <w:pPr>
              <w:spacing w:after="0"/>
            </w:pPr>
            <w:r>
              <w:rPr>
                <w:rFonts w:ascii="Consolas" w:hAnsi="Consolas"/>
              </w:rPr>
              <w:t xml:space="preserve">0.623</w:t>
            </w:r>
          </w:p>
        </w:tc>
        <w:tc>
          <w:tcPr>
            <w:tcW w:w="3120" w:type="dxa"/>
          </w:tcPr>
          <w:p>
            <w:pPr>
              <w:spacing w:after="0"/>
            </w:pPr>
            <w:r>
              <w:t xml:space="preserve">yes</w:t>
            </w:r>
          </w:p>
        </w:tc>
      </w:tr>
      <w:tr>
        <w:tc>
          <w:tcPr>
            <w:tcW w:w="3120" w:type="dxa"/>
          </w:tcPr>
          <w:p>
            <w:pPr>
              <w:spacing w:after="0"/>
            </w:pPr>
            <w:r>
              <w:t xml:space="preserve">Trained AC1 CI (manuscript and database)</w:t>
            </w:r>
          </w:p>
        </w:tc>
        <w:tc>
          <w:tcPr>
            <w:tcW w:w="3120" w:type="dxa"/>
          </w:tcPr>
          <w:p>
            <w:pPr>
              <w:spacing w:after="0"/>
            </w:pPr>
            <w:r>
              <w:rPr>
                <w:rFonts w:ascii="Consolas" w:hAnsi="Consolas"/>
              </w:rPr>
              <w:t xml:space="preserve">0.253 to 0.994</w:t>
            </w:r>
          </w:p>
        </w:tc>
        <w:tc>
          <w:tcPr>
            <w:tcW w:w="3120" w:type="dxa"/>
          </w:tcPr>
          <w:p>
            <w:pPr>
              <w:spacing w:after="0"/>
            </w:pPr>
            <w:r>
              <w:t xml:space="preserve">yes</w:t>
            </w:r>
          </w:p>
        </w:tc>
      </w:tr>
    </w:tbl>
    <w:p>
      <w:pPr/>
      <w:r>
        <w:t/>
      </w:r>
    </w:p>
    <w:p>
      <w:pPr>
        <w:spacing w:after="140"/>
      </w:pPr>
      <w:r>
        <w:t xml:space="preserve">Arithmetic re-checked in the document: 216 + 142 + 207 = 565, and 113 x 5 = 565. Both hold.</w:t>
      </w:r>
    </w:p>
    <w:p>
      <w:pPr>
        <w:pStyle w:val="Heading3"/>
        <w:spacing w:after="140"/>
      </w:pPr>
      <w:r>
        <w:t xml:space="preserve">TWO INSTRUCTED VALUES DISAGREE WITH THE MANUSCRIPT AND THE DATABASE. NEITHER WAS CHANGED.</w:t>
      </w:r>
    </w:p>
    <w:p>
      <w:pPr>
        <w:spacing w:after="140"/>
      </w:pPr>
      <w:r>
        <w:t xml:space="preserve">The instruction lists the trained-reviewer coefficient as </w:t>
      </w:r>
      <w:r>
        <w:rPr>
          <w:b/>
        </w:rPr>
        <w:t xml:space="preserve">AC1 0.624, CI 0.349 to 0.898</w:t>
      </w:r>
      <w:r>
        <w:t xml:space="preserve">. The manuscript carries </w:t>
      </w:r>
      <w:r>
        <w:rPr>
          <w:b/>
        </w:rPr>
        <w:t xml:space="preserve">0.623</w:t>
      </w:r>
      <w:r>
        <w:t xml:space="preserve">, analytic CI </w:t>
      </w:r>
      <w:r>
        <w:rPr>
          <w:b/>
        </w:rPr>
        <w:t xml:space="preserve">0.253 to 0.994</w:t>
      </w:r>
      <w:r>
        <w:t xml:space="preserve">, bootstrap CI </w:t>
      </w:r>
      <w:r>
        <w:rPr>
          <w:b/>
        </w:rPr>
        <w:t xml:space="preserve">0.301 to 0.886</w:t>
      </w:r>
      <w:r>
        <w:t xml:space="preserve">.</w:t>
      </w:r>
    </w:p>
    <w:p>
      <w:pPr>
        <w:spacing w:after="140"/>
      </w:pPr>
      <w:r>
        <w:t xml:space="preserve">The manuscript's figures are the ones that reproduce from </w:t>
      </w:r>
      <w:r>
        <w:rPr>
          <w:rFonts w:ascii="Consolas" w:hAnsi="Consolas"/>
        </w:rPr>
        <w:t xml:space="preserve">bench_labels</w:t>
      </w:r>
      <w:r>
        <w:t xml:space="preserve">: the recomputed coefficient is 0.6228 on 68 labels from 14 raters. The 0.624 figure is the pre-2026-08-15 value, superseded when the label count moved from 63 to 68; </w:t>
      </w:r>
      <w:r>
        <w:rPr>
          <w:rFonts w:ascii="Consolas" w:hAnsi="Consolas"/>
        </w:rPr>
        <w:t xml:space="preserve">scripts/verify_manuscript_figures.py</w:t>
      </w:r>
      <w:r>
        <w:t xml:space="preserve"> carries 0.624 on its superseded-values blocklist for that reason.</w:t>
      </w:r>
    </w:p>
    <w:p>
      <w:pPr>
        <w:spacing w:after="140"/>
      </w:pPr>
      <w:r>
        <w:rPr>
          <w:b/>
        </w:rPr>
        <w:t xml:space="preserve">No change was made.</w:t>
      </w:r>
      <w:r>
        <w:t xml:space="preserve"> The instruction forbids changing numerical results, and writing in 0.624 would both restore a superseded figure and contradict the database. Flagged here for the owner's decision.</w:t>
      </w:r>
    </w:p>
    <w:p>
      <w:pPr>
        <w:pStyle w:val="Heading2"/>
        <w:spacing w:after="140"/>
      </w:pPr>
      <w:r>
        <w:t xml:space="preserve">Terminology audit, revision 5</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Term</w:t>
            </w:r>
          </w:p>
        </w:tc>
        <w:tc>
          <w:tcPr>
            <w:tcW w:w="4680" w:type="dxa"/>
          </w:tcPr>
          <w:p>
            <w:pPr>
              <w:spacing w:after="0"/>
            </w:pPr>
            <w:r>
              <w:t xml:space="preserve">Occurrences in v5</w:t>
            </w:r>
          </w:p>
        </w:tc>
      </w:tr>
      <w:tr>
        <w:tc>
          <w:tcPr>
            <w:tcW w:w="4680" w:type="dxa"/>
          </w:tcPr>
          <w:p>
            <w:pPr>
              <w:spacing w:after="0"/>
            </w:pPr>
            <w:r>
              <w:rPr>
                <w:rFonts w:ascii="Consolas" w:hAnsi="Consolas"/>
              </w:rPr>
              <w:t xml:space="preserve">verified key</w:t>
            </w:r>
          </w:p>
        </w:tc>
        <w:tc>
          <w:tcPr>
            <w:tcW w:w="4680" w:type="dxa"/>
          </w:tcPr>
          <w:p>
            <w:pPr>
              <w:spacing w:after="0"/>
            </w:pPr>
            <w:r>
              <w:t xml:space="preserve">0</w:t>
            </w:r>
          </w:p>
        </w:tc>
      </w:tr>
      <w:tr>
        <w:tc>
          <w:tcPr>
            <w:tcW w:w="4680" w:type="dxa"/>
          </w:tcPr>
          <w:p>
            <w:pPr>
              <w:spacing w:after="0"/>
            </w:pPr>
            <w:r>
              <w:rPr>
                <w:rFonts w:ascii="Consolas" w:hAnsi="Consolas"/>
              </w:rPr>
              <w:t xml:space="preserve">verified answer key</w:t>
            </w:r>
          </w:p>
        </w:tc>
        <w:tc>
          <w:tcPr>
            <w:tcW w:w="4680" w:type="dxa"/>
          </w:tcPr>
          <w:p>
            <w:pPr>
              <w:spacing w:after="0"/>
            </w:pPr>
            <w:r>
              <w:t xml:space="preserve">0</w:t>
            </w:r>
          </w:p>
        </w:tc>
      </w:tr>
      <w:tr>
        <w:tc>
          <w:tcPr>
            <w:tcW w:w="4680" w:type="dxa"/>
          </w:tcPr>
          <w:p>
            <w:pPr>
              <w:spacing w:after="0"/>
            </w:pPr>
            <w:r>
              <w:rPr>
                <w:rFonts w:ascii="Consolas" w:hAnsi="Consolas"/>
              </w:rPr>
              <w:t xml:space="preserve">held-out key</w:t>
            </w:r>
          </w:p>
        </w:tc>
        <w:tc>
          <w:tcPr>
            <w:tcW w:w="4680" w:type="dxa"/>
          </w:tcPr>
          <w:p>
            <w:pPr>
              <w:spacing w:after="0"/>
            </w:pPr>
            <w:r>
              <w:t xml:space="preserve">0</w:t>
            </w:r>
          </w:p>
        </w:tc>
      </w:tr>
      <w:tr>
        <w:tc>
          <w:tcPr>
            <w:tcW w:w="4680" w:type="dxa"/>
          </w:tcPr>
          <w:p>
            <w:pPr>
              <w:spacing w:after="0"/>
            </w:pPr>
            <w:r>
              <w:rPr>
                <w:rFonts w:ascii="Consolas" w:hAnsi="Consolas"/>
              </w:rPr>
              <w:t xml:space="preserve">answer key</w:t>
            </w:r>
          </w:p>
        </w:tc>
        <w:tc>
          <w:tcPr>
            <w:tcW w:w="4680" w:type="dxa"/>
          </w:tcPr>
          <w:p>
            <w:pPr>
              <w:spacing w:after="0"/>
            </w:pPr>
            <w:r>
              <w:t xml:space="preserve">0</w:t>
            </w:r>
          </w:p>
        </w:tc>
      </w:tr>
      <w:tr>
        <w:tc>
          <w:tcPr>
            <w:tcW w:w="4680" w:type="dxa"/>
          </w:tcPr>
          <w:p>
            <w:pPr>
              <w:spacing w:after="0"/>
            </w:pPr>
            <w:r>
              <w:rPr>
                <w:rFonts w:ascii="Consolas" w:hAnsi="Consolas"/>
              </w:rPr>
              <w:t xml:space="preserve">reference classification</w:t>
            </w:r>
          </w:p>
        </w:tc>
        <w:tc>
          <w:tcPr>
            <w:tcW w:w="4680" w:type="dxa"/>
          </w:tcPr>
          <w:p>
            <w:pPr>
              <w:spacing w:after="0"/>
            </w:pPr>
            <w:r>
              <w:t xml:space="preserve">27</w:t>
            </w:r>
          </w:p>
        </w:tc>
      </w:tr>
    </w:tbl>
    <w:p>
      <w:pPr/>
      <w:r>
        <w:t/>
      </w:r>
    </w:p>
    <w:p>
      <w:pPr>
        <w:spacing w:after="140"/>
      </w:pPr>
      <w:r>
        <w:t xml:space="preserve">No residual occurrence of </w:t>
      </w:r>
      <w:r>
        <w:rPr>
          <w:rFonts w:ascii="Consolas" w:hAnsi="Consolas"/>
        </w:rPr>
        <w:t xml:space="preserve">answer key</w:t>
      </w:r>
      <w:r>
        <w:t xml:space="preserve"> remains.</w:t>
      </w:r>
    </w:p>
    <w:p>
      <w:pPr>
        <w:pStyle w:val="Heading2"/>
        <w:spacing w:after="140"/>
      </w:pPr>
      <w:r>
        <w:t xml:space="preserve">Prohibited-claim audit</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Claim that must be absent</w:t>
            </w:r>
          </w:p>
        </w:tc>
        <w:tc>
          <w:tcPr>
            <w:tcW w:w="4680" w:type="dxa"/>
          </w:tcPr>
          <w:p>
            <w:pPr>
              <w:spacing w:after="0"/>
            </w:pPr>
            <w:r>
              <w:t xml:space="preserve">Present</w:t>
            </w:r>
          </w:p>
        </w:tc>
      </w:tr>
      <w:tr>
        <w:tc>
          <w:tcPr>
            <w:tcW w:w="4680" w:type="dxa"/>
          </w:tcPr>
          <w:p>
            <w:pPr>
              <w:spacing w:after="0"/>
            </w:pPr>
            <w:r>
              <w:rPr>
                <w:rFonts w:ascii="Consolas" w:hAnsi="Consolas"/>
              </w:rPr>
              <w:t xml:space="preserve">verified key</w:t>
            </w:r>
            <w:r>
              <w:t xml:space="preserve"> (revision 5)</w:t>
            </w:r>
          </w:p>
        </w:tc>
        <w:tc>
          <w:tcPr>
            <w:tcW w:w="4680" w:type="dxa"/>
          </w:tcPr>
          <w:p>
            <w:pPr>
              <w:spacing w:after="0"/>
            </w:pPr>
            <w:r>
              <w:t xml:space="preserve">no</w:t>
            </w:r>
          </w:p>
        </w:tc>
      </w:tr>
      <w:tr>
        <w:tc>
          <w:tcPr>
            <w:tcW w:w="4680" w:type="dxa"/>
          </w:tcPr>
          <w:p>
            <w:pPr>
              <w:spacing w:after="0"/>
            </w:pPr>
            <w:r>
              <w:rPr>
                <w:rFonts w:ascii="Consolas" w:hAnsi="Consolas"/>
              </w:rPr>
              <w:t xml:space="preserve">verified answer key</w:t>
            </w:r>
            <w:r>
              <w:t xml:space="preserve"> (revision 5)</w:t>
            </w:r>
          </w:p>
        </w:tc>
        <w:tc>
          <w:tcPr>
            <w:tcW w:w="4680" w:type="dxa"/>
          </w:tcPr>
          <w:p>
            <w:pPr>
              <w:spacing w:after="0"/>
            </w:pPr>
            <w:r>
              <w:t xml:space="preserve">no</w:t>
            </w:r>
          </w:p>
        </w:tc>
      </w:tr>
      <w:tr>
        <w:tc>
          <w:tcPr>
            <w:tcW w:w="4680" w:type="dxa"/>
          </w:tcPr>
          <w:p>
            <w:pPr>
              <w:spacing w:after="0"/>
            </w:pPr>
            <w:r>
              <w:rPr>
                <w:rFonts w:ascii="Consolas" w:hAnsi="Consolas"/>
              </w:rPr>
              <w:t xml:space="preserve">held-out key</w:t>
            </w:r>
            <w:r>
              <w:t xml:space="preserve"> (revision 5)</w:t>
            </w:r>
          </w:p>
        </w:tc>
        <w:tc>
          <w:tcPr>
            <w:tcW w:w="4680" w:type="dxa"/>
          </w:tcPr>
          <w:p>
            <w:pPr>
              <w:spacing w:after="0"/>
            </w:pPr>
            <w:r>
              <w:t xml:space="preserve">no</w:t>
            </w:r>
          </w:p>
        </w:tc>
      </w:tr>
      <w:tr>
        <w:tc>
          <w:tcPr>
            <w:tcW w:w="4680" w:type="dxa"/>
          </w:tcPr>
          <w:p>
            <w:pPr>
              <w:spacing w:after="0"/>
            </w:pPr>
            <w:r>
              <w:rPr>
                <w:rFonts w:ascii="Consolas" w:hAnsi="Consolas"/>
              </w:rPr>
              <w:t xml:space="preserve">blind to the key</w:t>
            </w:r>
            <w:r>
              <w:t xml:space="preserve"> (revision 5, bare key reference)</w:t>
            </w:r>
          </w:p>
        </w:tc>
        <w:tc>
          <w:tcPr>
            <w:tcW w:w="4680" w:type="dxa"/>
          </w:tcPr>
          <w:p>
            <w:pPr>
              <w:spacing w:after="0"/>
            </w:pPr>
            <w:r>
              <w:t xml:space="preserve">no</w:t>
            </w:r>
          </w:p>
        </w:tc>
      </w:tr>
      <w:tr>
        <w:tc>
          <w:tcPr>
            <w:tcW w:w="4680" w:type="dxa"/>
          </w:tcPr>
          <w:p>
            <w:pPr>
              <w:spacing w:after="0"/>
            </w:pPr>
            <w:r>
              <w:rPr>
                <w:rFonts w:ascii="Consolas" w:hAnsi="Consolas"/>
              </w:rPr>
              <w:t xml:space="preserve">established the key</w:t>
            </w:r>
            <w:r>
              <w:t xml:space="preserve"> (revision 5, bare key reference)</w:t>
            </w:r>
          </w:p>
        </w:tc>
        <w:tc>
          <w:tcPr>
            <w:tcW w:w="4680" w:type="dxa"/>
          </w:tcPr>
          <w:p>
            <w:pPr>
              <w:spacing w:after="0"/>
            </w:pPr>
            <w:r>
              <w:t xml:space="preserve">no</w:t>
            </w:r>
          </w:p>
        </w:tc>
      </w:tr>
      <w:tr>
        <w:tc>
          <w:tcPr>
            <w:tcW w:w="4680" w:type="dxa"/>
          </w:tcPr>
          <w:p>
            <w:pPr>
              <w:spacing w:after="0"/>
            </w:pPr>
            <w:r>
              <w:rPr>
                <w:rFonts w:ascii="Consolas" w:hAnsi="Consolas"/>
              </w:rPr>
              <w:t xml:space="preserve">reproduction of the key</w:t>
            </w:r>
            <w:r>
              <w:t xml:space="preserve"> (revision 5, bare key reference)</w:t>
            </w:r>
          </w:p>
        </w:tc>
        <w:tc>
          <w:tcPr>
            <w:tcW w:w="4680" w:type="dxa"/>
          </w:tcPr>
          <w:p>
            <w:pPr>
              <w:spacing w:after="0"/>
            </w:pPr>
            <w:r>
              <w:t xml:space="preserve">no</w:t>
            </w:r>
          </w:p>
        </w:tc>
      </w:tr>
      <w:tr>
        <w:tc>
          <w:tcPr>
            <w:tcW w:w="4680" w:type="dxa"/>
          </w:tcPr>
          <w:p>
            <w:pPr>
              <w:spacing w:after="0"/>
            </w:pPr>
            <w:r>
              <w:rPr>
                <w:rFonts w:ascii="Consolas" w:hAnsi="Consolas"/>
              </w:rPr>
              <w:t xml:space="preserve">about the key is withheld</w:t>
            </w:r>
            <w:r>
              <w:t xml:space="preserve"> (revision 5, bare key reference)</w:t>
            </w:r>
          </w:p>
        </w:tc>
        <w:tc>
          <w:tcPr>
            <w:tcW w:w="4680" w:type="dxa"/>
          </w:tcPr>
          <w:p>
            <w:pPr>
              <w:spacing w:after="0"/>
            </w:pPr>
            <w:r>
              <w:t xml:space="preserve">no</w:t>
            </w:r>
          </w:p>
        </w:tc>
      </w:tr>
      <w:tr>
        <w:tc>
          <w:tcPr>
            <w:tcW w:w="4680" w:type="dxa"/>
          </w:tcPr>
          <w:p>
            <w:pPr>
              <w:spacing w:after="0"/>
            </w:pPr>
            <w:r>
              <w:rPr>
                <w:rFonts w:ascii="Consolas" w:hAnsi="Consolas"/>
              </w:rPr>
              <w:t xml:space="preserve">a key existed to be recovered</w:t>
            </w:r>
            <w:r>
              <w:t xml:space="preserve"> (revision 5, bare key reference)</w:t>
            </w:r>
          </w:p>
        </w:tc>
        <w:tc>
          <w:tcPr>
            <w:tcW w:w="4680" w:type="dxa"/>
          </w:tcPr>
          <w:p>
            <w:pPr>
              <w:spacing w:after="0"/>
            </w:pPr>
            <w:r>
              <w:t xml:space="preserve">no</w:t>
            </w:r>
          </w:p>
        </w:tc>
      </w:tr>
      <w:tr>
        <w:tc>
          <w:tcPr>
            <w:tcW w:w="4680" w:type="dxa"/>
          </w:tcPr>
          <w:p>
            <w:pPr>
              <w:spacing w:after="0"/>
            </w:pPr>
            <w:r>
              <w:rPr>
                <w:rFonts w:ascii="Consolas" w:hAnsi="Consolas"/>
              </w:rPr>
              <w:t xml:space="preserve">is an upper bound</w:t>
            </w:r>
            <w:r>
              <w:t xml:space="preserve"> (v4 item 4)</w:t>
            </w:r>
          </w:p>
        </w:tc>
        <w:tc>
          <w:tcPr>
            <w:tcW w:w="4680" w:type="dxa"/>
          </w:tcPr>
          <w:p>
            <w:pPr>
              <w:spacing w:after="0"/>
            </w:pPr>
            <w:r>
              <w:t xml:space="preserve">no</w:t>
            </w:r>
          </w:p>
        </w:tc>
      </w:tr>
      <w:tr>
        <w:tc>
          <w:tcPr>
            <w:tcW w:w="4680" w:type="dxa"/>
          </w:tcPr>
          <w:p>
            <w:pPr>
              <w:spacing w:after="0"/>
            </w:pPr>
            <w:r>
              <w:rPr>
                <w:rFonts w:ascii="Consolas" w:hAnsi="Consolas"/>
              </w:rPr>
              <w:t xml:space="preserve">performs below chance</w:t>
            </w:r>
            <w:r>
              <w:t xml:space="preserve"> (revision 3)</w:t>
            </w:r>
          </w:p>
        </w:tc>
        <w:tc>
          <w:tcPr>
            <w:tcW w:w="4680" w:type="dxa"/>
          </w:tcPr>
          <w:p>
            <w:pPr>
              <w:spacing w:after="0"/>
            </w:pPr>
            <w:r>
              <w:t xml:space="preserve">no</w:t>
            </w:r>
          </w:p>
        </w:tc>
      </w:tr>
      <w:tr>
        <w:tc>
          <w:tcPr>
            <w:tcW w:w="4680" w:type="dxa"/>
          </w:tcPr>
          <w:p>
            <w:pPr>
              <w:spacing w:after="0"/>
            </w:pPr>
            <w:r>
              <w:rPr>
                <w:rFonts w:ascii="Consolas" w:hAnsi="Consolas"/>
              </w:rPr>
              <w:t xml:space="preserve">Nothing about the headline figure depends</w:t>
            </w:r>
            <w:r>
              <w:t xml:space="preserve"> (revision 4)</w:t>
            </w:r>
          </w:p>
        </w:tc>
        <w:tc>
          <w:tcPr>
            <w:tcW w:w="4680" w:type="dxa"/>
          </w:tcPr>
          <w:p>
            <w:pPr>
              <w:spacing w:after="0"/>
            </w:pPr>
            <w:r>
              <w:t xml:space="preserve">no</w:t>
            </w:r>
          </w:p>
        </w:tc>
      </w:tr>
      <w:tr>
        <w:tc>
          <w:tcPr>
            <w:tcW w:w="4680" w:type="dxa"/>
          </w:tcPr>
          <w:p>
            <w:pPr>
              <w:spacing w:after="0"/>
            </w:pPr>
            <w:r>
              <w:rPr>
                <w:rFonts w:ascii="Consolas" w:hAnsi="Consolas"/>
              </w:rPr>
              <w:t xml:space="preserve">JRS is independent of any vendor</w:t>
            </w:r>
            <w:r>
              <w:t xml:space="preserve"> (v4 item 6)</w:t>
            </w:r>
          </w:p>
        </w:tc>
        <w:tc>
          <w:tcPr>
            <w:tcW w:w="4680" w:type="dxa"/>
          </w:tcPr>
          <w:p>
            <w:pPr>
              <w:spacing w:after="0"/>
            </w:pPr>
            <w:r>
              <w:t xml:space="preserve">no</w:t>
            </w:r>
          </w:p>
        </w:tc>
      </w:tr>
      <w:tr>
        <w:tc>
          <w:tcPr>
            <w:tcW w:w="4680" w:type="dxa"/>
          </w:tcPr>
          <w:p>
            <w:pPr>
              <w:spacing w:after="0"/>
            </w:pPr>
            <w:r>
              <w:rPr>
                <w:rFonts w:ascii="Consolas" w:hAnsi="Consolas"/>
              </w:rPr>
              <w:t xml:space="preserve">Fisher's exact</w:t>
            </w:r>
            <w:r>
              <w:t xml:space="preserve"> (v4 item 5)</w:t>
            </w:r>
          </w:p>
        </w:tc>
        <w:tc>
          <w:tcPr>
            <w:tcW w:w="4680" w:type="dxa"/>
          </w:tcPr>
          <w:p>
            <w:pPr>
              <w:spacing w:after="0"/>
            </w:pPr>
            <w:r>
              <w:t xml:space="preserve">no</w:t>
            </w:r>
          </w:p>
        </w:tc>
      </w:tr>
      <w:tr>
        <w:tc>
          <w:tcPr>
            <w:tcW w:w="4680" w:type="dxa"/>
          </w:tcPr>
          <w:p>
            <w:pPr>
              <w:spacing w:after="0"/>
            </w:pPr>
            <w:r>
              <w:rPr>
                <w:rFonts w:ascii="Consolas" w:hAnsi="Consolas"/>
              </w:rPr>
              <w:t xml:space="preserve">no deception was used</w:t>
            </w:r>
            <w:r>
              <w:t xml:space="preserve"> (v4 item 11)</w:t>
            </w:r>
          </w:p>
        </w:tc>
        <w:tc>
          <w:tcPr>
            <w:tcW w:w="4680" w:type="dxa"/>
          </w:tcPr>
          <w:p>
            <w:pPr>
              <w:spacing w:after="0"/>
            </w:pPr>
            <w:r>
              <w:t xml:space="preserve">no</w:t>
            </w:r>
          </w:p>
        </w:tc>
      </w:tr>
      <w:tr>
        <w:tc>
          <w:tcPr>
            <w:tcW w:w="4680" w:type="dxa"/>
          </w:tcPr>
          <w:p>
            <w:pPr>
              <w:spacing w:after="0"/>
            </w:pPr>
            <w:r>
              <w:rPr>
                <w:rFonts w:ascii="Consolas" w:hAnsi="Consolas"/>
              </w:rPr>
              <w:t xml:space="preserve">de-identified participant-level response data</w:t>
            </w:r>
            <w:r>
              <w:t xml:space="preserve"> (v4 item 12)</w:t>
            </w:r>
          </w:p>
        </w:tc>
        <w:tc>
          <w:tcPr>
            <w:tcW w:w="4680" w:type="dxa"/>
          </w:tcPr>
          <w:p>
            <w:pPr>
              <w:spacing w:after="0"/>
            </w:pPr>
            <w:r>
              <w:t xml:space="preserve">no</w:t>
            </w:r>
          </w:p>
        </w:tc>
      </w:tr>
      <w:tr>
        <w:tc>
          <w:tcPr>
            <w:tcW w:w="4680" w:type="dxa"/>
          </w:tcPr>
          <w:p>
            <w:pPr>
              <w:spacing w:after="0"/>
            </w:pPr>
            <w:r>
              <w:rPr>
                <w:rFonts w:ascii="Consolas" w:hAnsi="Consolas"/>
              </w:rPr>
              <w:t xml:space="preserve">A property can be real</w:t>
            </w:r>
            <w:r>
              <w:t xml:space="preserve"> (v4 item 10)</w:t>
            </w:r>
          </w:p>
        </w:tc>
        <w:tc>
          <w:tcPr>
            <w:tcW w:w="4680" w:type="dxa"/>
          </w:tcPr>
          <w:p>
            <w:pPr>
              <w:spacing w:after="0"/>
            </w:pPr>
            <w:r>
              <w:t xml:space="preserve">no</w:t>
            </w:r>
          </w:p>
        </w:tc>
      </w:tr>
      <w:tr>
        <w:tc>
          <w:tcPr>
            <w:tcW w:w="4680" w:type="dxa"/>
          </w:tcPr>
          <w:p>
            <w:pPr>
              <w:spacing w:after="0"/>
            </w:pPr>
            <w:r>
              <w:rPr>
                <w:rFonts w:ascii="Consolas" w:hAnsi="Consolas"/>
              </w:rPr>
              <w:t xml:space="preserve">The variety at issue here is a fourth</w:t>
            </w:r>
            <w:r>
              <w:t xml:space="preserve"> (v4 item 10)</w:t>
            </w:r>
          </w:p>
        </w:tc>
        <w:tc>
          <w:tcPr>
            <w:tcW w:w="4680" w:type="dxa"/>
          </w:tcPr>
          <w:p>
            <w:pPr>
              <w:spacing w:after="0"/>
            </w:pPr>
            <w:r>
              <w:t xml:space="preserve">no</w:t>
            </w:r>
          </w:p>
        </w:tc>
      </w:tr>
      <w:tr>
        <w:tc>
          <w:tcPr>
            <w:tcW w:w="4680" w:type="dxa"/>
          </w:tcPr>
          <w:p>
            <w:pPr>
              <w:spacing w:after="0"/>
            </w:pPr>
            <w:r>
              <w:rPr>
                <w:rFonts w:ascii="Consolas" w:hAnsi="Consolas"/>
              </w:rPr>
              <w:t xml:space="preserve">Across the 113 labels</w:t>
            </w:r>
            <w:r>
              <w:t xml:space="preserve"> (v4 item 1)</w:t>
            </w:r>
          </w:p>
        </w:tc>
        <w:tc>
          <w:tcPr>
            <w:tcW w:w="4680" w:type="dxa"/>
          </w:tcPr>
          <w:p>
            <w:pPr>
              <w:spacing w:after="0"/>
            </w:pPr>
            <w:r>
              <w:t xml:space="preserve">no</w:t>
            </w:r>
          </w:p>
        </w:tc>
      </w:tr>
    </w:tbl>
    <w:p>
      <w:pPr/>
      <w:r>
        <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Limitation that must be present</w:t>
            </w:r>
          </w:p>
        </w:tc>
        <w:tc>
          <w:tcPr>
            <w:tcW w:w="4680" w:type="dxa"/>
          </w:tcPr>
          <w:p>
            <w:pPr>
              <w:spacing w:after="0"/>
            </w:pPr>
            <w:r>
              <w:t xml:space="preserve">Present</w:t>
            </w:r>
          </w:p>
        </w:tc>
      </w:tr>
      <w:tr>
        <w:tc>
          <w:tcPr>
            <w:tcW w:w="4680" w:type="dxa"/>
          </w:tcPr>
          <w:p>
            <w:pPr>
              <w:spacing w:after="0"/>
            </w:pPr>
            <w:r>
              <w:t xml:space="preserve">Workflow independence is a design intention, not a result (workflow)</w:t>
            </w:r>
          </w:p>
        </w:tc>
        <w:tc>
          <w:tcPr>
            <w:tcW w:w="4680" w:type="dxa"/>
          </w:tcPr>
          <w:p>
            <w:pPr>
              <w:spacing w:after="0"/>
            </w:pPr>
            <w:r>
              <w:t xml:space="preserve">yes</w:t>
            </w:r>
          </w:p>
        </w:tc>
      </w:tr>
      <w:tr>
        <w:tc>
          <w:tcPr>
            <w:tcW w:w="4680" w:type="dxa"/>
          </w:tcPr>
          <w:p>
            <w:pPr>
              <w:spacing w:after="0"/>
            </w:pPr>
            <w:r>
              <w:t xml:space="preserve">It does not establish measurement invariance (cross-cultural)</w:t>
            </w:r>
          </w:p>
        </w:tc>
        <w:tc>
          <w:tcPr>
            <w:tcW w:w="4680" w:type="dxa"/>
          </w:tcPr>
          <w:p>
            <w:pPr>
              <w:spacing w:after="0"/>
            </w:pPr>
            <w:r>
              <w:t xml:space="preserve">yes</w:t>
            </w:r>
          </w:p>
        </w:tc>
      </w:tr>
      <w:tr>
        <w:tc>
          <w:tcPr>
            <w:tcW w:w="4680" w:type="dxa"/>
          </w:tcPr>
          <w:p>
            <w:pPr>
              <w:spacing w:after="0"/>
            </w:pPr>
            <w:r>
              <w:t xml:space="preserve">The pre-registered reliability criterion was not met. (reliability)</w:t>
            </w:r>
          </w:p>
        </w:tc>
        <w:tc>
          <w:tcPr>
            <w:tcW w:w="4680" w:type="dxa"/>
          </w:tcPr>
          <w:p>
            <w:pPr>
              <w:spacing w:after="0"/>
            </w:pPr>
            <w:r>
              <w:t xml:space="preserve">yes</w:t>
            </w:r>
          </w:p>
        </w:tc>
      </w:tr>
      <w:tr>
        <w:tc>
          <w:tcPr>
            <w:tcW w:w="4680" w:type="dxa"/>
          </w:tcPr>
          <w:p>
            <w:pPr>
              <w:spacing w:after="0"/>
            </w:pPr>
            <w:r>
              <w:t xml:space="preserve">We do not treat that as satisfying the pre-registration. (reliability bootstrap)</w:t>
            </w:r>
          </w:p>
        </w:tc>
        <w:tc>
          <w:tcPr>
            <w:tcW w:w="4680" w:type="dxa"/>
          </w:tcPr>
          <w:p>
            <w:pPr>
              <w:spacing w:after="0"/>
            </w:pPr>
            <w:r>
              <w:t xml:space="preserve">yes</w:t>
            </w:r>
          </w:p>
        </w:tc>
      </w:tr>
      <w:tr>
        <w:tc>
          <w:tcPr>
            <w:tcW w:w="4680" w:type="dxa"/>
          </w:tcPr>
          <w:p>
            <w:pPr>
              <w:spacing w:after="0"/>
            </w:pPr>
            <w:r>
              <w:t xml:space="preserve">may overstate performance on a corpus containing ambiguous records (spectrum)</w:t>
            </w:r>
          </w:p>
        </w:tc>
        <w:tc>
          <w:tcPr>
            <w:tcW w:w="4680" w:type="dxa"/>
          </w:tcPr>
          <w:p>
            <w:pPr>
              <w:spacing w:after="0"/>
            </w:pPr>
            <w:r>
              <w:t xml:space="preserve">yes</w:t>
            </w:r>
          </w:p>
        </w:tc>
      </w:tr>
      <w:tr>
        <w:tc>
          <w:tcPr>
            <w:tcW w:w="4680" w:type="dxa"/>
          </w:tcPr>
          <w:p>
            <w:pPr>
              <w:spacing w:after="0"/>
            </w:pPr>
            <w:r>
              <w:t xml:space="preserve">designed to be vendor-, model-, and workflow-agnostic (JRS agnostic)</w:t>
            </w:r>
          </w:p>
        </w:tc>
        <w:tc>
          <w:tcPr>
            <w:tcW w:w="4680" w:type="dxa"/>
          </w:tcPr>
          <w:p>
            <w:pPr>
              <w:spacing w:after="0"/>
            </w:pPr>
            <w:r>
              <w:t xml:space="preserve">yes</w:t>
            </w:r>
          </w:p>
        </w:tc>
      </w:tr>
      <w:tr>
        <w:tc>
          <w:tcPr>
            <w:tcW w:w="4680" w:type="dxa"/>
          </w:tcPr>
          <w:p>
            <w:pPr>
              <w:spacing w:after="0"/>
            </w:pPr>
            <w:r>
              <w:rPr>
                <w:b/>
              </w:rPr>
              <w:t xml:space="preserve">It is untested.</w:t>
            </w:r>
            <w:r>
              <w:t xml:space="preserve"> (proportionality)</w:t>
            </w:r>
          </w:p>
        </w:tc>
        <w:tc>
          <w:tcPr>
            <w:tcW w:w="4680" w:type="dxa"/>
          </w:tcPr>
          <w:p>
            <w:pPr>
              <w:spacing w:after="0"/>
            </w:pPr>
            <w:r>
              <w:t xml:space="preserve">yes</w:t>
            </w:r>
          </w:p>
        </w:tc>
      </w:tr>
      <w:tr>
        <w:tc>
          <w:tcPr>
            <w:tcW w:w="4680" w:type="dxa"/>
          </w:tcPr>
          <w:p>
            <w:pPr>
              <w:spacing w:after="0"/>
            </w:pPr>
            <w:r>
              <w:t xml:space="preserve">The study therefore establishes detectability on AI-generated reco (workflow)</w:t>
            </w:r>
          </w:p>
        </w:tc>
        <w:tc>
          <w:tcPr>
            <w:tcW w:w="4680" w:type="dxa"/>
          </w:tcPr>
          <w:p>
            <w:pPr>
              <w:spacing w:after="0"/>
            </w:pPr>
            <w:r>
              <w:t xml:space="preserve">yes</w:t>
            </w:r>
          </w:p>
        </w:tc>
      </w:tr>
      <w:tr>
        <w:tc>
          <w:tcPr>
            <w:tcW w:w="4680" w:type="dxa"/>
          </w:tcPr>
          <w:p>
            <w:pPr>
              <w:spacing w:after="0"/>
            </w:pPr>
            <w:r>
              <w:t xml:space="preserve">It does not establish criterion validity against real documentatio (criterion validity)</w:t>
            </w:r>
          </w:p>
        </w:tc>
        <w:tc>
          <w:tcPr>
            <w:tcW w:w="4680" w:type="dxa"/>
          </w:tcPr>
          <w:p>
            <w:pPr>
              <w:spacing w:after="0"/>
            </w:pPr>
            <w:r>
              <w:t xml:space="preserve">yes</w:t>
            </w:r>
          </w:p>
        </w:tc>
      </w:tr>
      <w:tr>
        <w:tc>
          <w:tcPr>
            <w:tcW w:w="4680" w:type="dxa"/>
          </w:tcPr>
          <w:p>
            <w:pPr>
              <w:spacing w:after="0"/>
            </w:pPr>
            <w:r>
              <w:t xml:space="preserve">independently reproduced but construct-dependent (revision 1)</w:t>
            </w:r>
          </w:p>
        </w:tc>
        <w:tc>
          <w:tcPr>
            <w:tcW w:w="4680" w:type="dxa"/>
          </w:tcPr>
          <w:p>
            <w:pPr>
              <w:spacing w:after="0"/>
            </w:pPr>
            <w:r>
              <w:t xml:space="preserve">yes</w:t>
            </w:r>
          </w:p>
        </w:tc>
      </w:tr>
      <w:tr>
        <w:tc>
          <w:tcPr>
            <w:tcW w:w="4680" w:type="dxa"/>
          </w:tcPr>
          <w:p>
            <w:pPr>
              <w:spacing w:after="0"/>
            </w:pPr>
            <w:r>
              <w:t xml:space="preserve">under the stated reviewer standpoint and briefing (revision 2)</w:t>
            </w:r>
          </w:p>
        </w:tc>
        <w:tc>
          <w:tcPr>
            <w:tcW w:w="4680" w:type="dxa"/>
          </w:tcPr>
          <w:p>
            <w:pPr>
              <w:spacing w:after="0"/>
            </w:pPr>
            <w:r>
              <w:t xml:space="preserve">yes</w:t>
            </w:r>
          </w:p>
        </w:tc>
      </w:tr>
      <w:tr>
        <w:tc>
          <w:tcPr>
            <w:tcW w:w="4680" w:type="dxa"/>
          </w:tcPr>
          <w:p>
            <w:pPr>
              <w:spacing w:after="0"/>
            </w:pPr>
            <w:r>
              <w:t xml:space="preserve">below the 50 percent balanced-corpus chance benchmark (revision 3)</w:t>
            </w:r>
          </w:p>
        </w:tc>
        <w:tc>
          <w:tcPr>
            <w:tcW w:w="4680" w:type="dxa"/>
          </w:tcPr>
          <w:p>
            <w:pPr>
              <w:spacing w:after="0"/>
            </w:pPr>
            <w:r>
              <w:t xml:space="preserve">yes</w:t>
            </w:r>
          </w:p>
        </w:tc>
      </w:tr>
      <w:tr>
        <w:tc>
          <w:tcPr>
            <w:tcW w:w="4680" w:type="dxa"/>
          </w:tcPr>
          <w:p>
            <w:pPr>
              <w:spacing w:after="0"/>
            </w:pPr>
            <w:r>
              <w:t xml:space="preserve">The exploratory crossed model does not materially alter (revision 4)</w:t>
            </w:r>
          </w:p>
        </w:tc>
        <w:tc>
          <w:tcPr>
            <w:tcW w:w="4680" w:type="dxa"/>
          </w:tcPr>
          <w:p>
            <w:pPr>
              <w:spacing w:after="0"/>
            </w:pPr>
            <w:r>
              <w:t xml:space="preserve">yes</w:t>
            </w:r>
          </w:p>
        </w:tc>
      </w:tr>
      <w:tr>
        <w:tc>
          <w:tcPr>
            <w:tcW w:w="4680" w:type="dxa"/>
          </w:tcPr>
          <w:p>
            <w:pPr>
              <w:spacing w:after="0"/>
            </w:pPr>
            <w:r>
              <w:t xml:space="preserve">For JRS, the result should therefore be read as evidence supportin (revision 6)</w:t>
            </w:r>
          </w:p>
        </w:tc>
        <w:tc>
          <w:tcPr>
            <w:tcW w:w="4680" w:type="dxa"/>
          </w:tcPr>
          <w:p>
            <w:pPr>
              <w:spacing w:after="0"/>
            </w:pPr>
            <w:r>
              <w:t xml:space="preserve">yes</w:t>
            </w:r>
          </w:p>
        </w:tc>
      </w:tr>
    </w:tbl>
    <w:p>
      <w:pPr/>
      <w:r>
        <w:t/>
      </w:r>
    </w:p>
    <w:p>
      <w:pPr>
        <w:pStyle w:val="Heading2"/>
        <w:spacing w:after="140"/>
      </w:pPr>
      <w:r>
        <w:t xml:space="preserve">Final document validation</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Check</w:t>
            </w:r>
          </w:p>
        </w:tc>
        <w:tc>
          <w:tcPr>
            <w:tcW w:w="4680" w:type="dxa"/>
          </w:tcPr>
          <w:p>
            <w:pPr>
              <w:spacing w:after="0"/>
            </w:pPr>
            <w:r>
              <w:t xml:space="preserve">Result</w:t>
            </w:r>
          </w:p>
        </w:tc>
      </w:tr>
      <w:tr>
        <w:tc>
          <w:tcPr>
            <w:tcW w:w="4680" w:type="dxa"/>
          </w:tcPr>
          <w:p>
            <w:pPr>
              <w:spacing w:after="0"/>
            </w:pPr>
            <w:r>
              <w:t xml:space="preserve">JRS positioning sentence occurrences</w:t>
            </w:r>
          </w:p>
        </w:tc>
        <w:tc>
          <w:tcPr>
            <w:tcW w:w="4680" w:type="dxa"/>
          </w:tcPr>
          <w:p>
            <w:pPr>
              <w:spacing w:after="0"/>
            </w:pPr>
            <w:r>
              <w:t xml:space="preserve">1, required exactly 1</w:t>
            </w:r>
          </w:p>
        </w:tc>
      </w:tr>
      <w:tr>
        <w:tc>
          <w:tcPr>
            <w:tcW w:w="4680" w:type="dxa"/>
          </w:tcPr>
          <w:p>
            <w:pPr>
              <w:spacing w:after="0"/>
            </w:pPr>
            <w:r>
              <w:t xml:space="preserve">Duplicate paragraphs introduced</w:t>
            </w:r>
          </w:p>
        </w:tc>
        <w:tc>
          <w:tcPr>
            <w:tcW w:w="4680" w:type="dxa"/>
          </w:tcPr>
          <w:p>
            <w:pPr>
              <w:spacing w:after="0"/>
            </w:pPr>
            <w:r>
              <w:t xml:space="preserve">none</w:t>
            </w:r>
          </w:p>
        </w:tc>
      </w:tr>
      <w:tr>
        <w:tc>
          <w:tcPr>
            <w:tcW w:w="4680" w:type="dxa"/>
          </w:tcPr>
          <w:p>
            <w:pPr>
              <w:spacing w:after="0"/>
            </w:pPr>
            <w:r>
              <w:t xml:space="preserve">Headings, tables, references, appendices preserved</w:t>
            </w:r>
          </w:p>
        </w:tc>
        <w:tc>
          <w:tcPr>
            <w:tcW w:w="4680" w:type="dxa"/>
          </w:tcPr>
          <w:p>
            <w:pPr>
              <w:spacing w:after="0"/>
            </w:pPr>
            <w:r>
              <w:t xml:space="preserve">yes</w:t>
            </w:r>
          </w:p>
        </w:tc>
      </w:tr>
      <w:tr>
        <w:tc>
          <w:tcPr>
            <w:tcW w:w="4680" w:type="dxa"/>
          </w:tcPr>
          <w:p>
            <w:pPr>
              <w:spacing w:after="0"/>
            </w:pPr>
            <w:r>
              <w:t xml:space="preserve">Em-dashes</w:t>
            </w:r>
          </w:p>
        </w:tc>
        <w:tc>
          <w:tcPr>
            <w:tcW w:w="4680" w:type="dxa"/>
          </w:tcPr>
          <w:p>
            <w:pPr>
              <w:spacing w:after="0"/>
            </w:pPr>
            <w:r>
              <w:t xml:space="preserve">0</w:t>
            </w:r>
          </w:p>
        </w:tc>
      </w:tr>
      <w:tr>
        <w:tc>
          <w:tcPr>
            <w:tcW w:w="4680" w:type="dxa"/>
          </w:tcPr>
          <w:p>
            <w:pPr>
              <w:spacing w:after="0"/>
            </w:pPr>
            <w:r>
              <w:t xml:space="preserve">Banned filler adverb 'frequently'</w:t>
            </w:r>
          </w:p>
        </w:tc>
        <w:tc>
          <w:tcPr>
            <w:tcW w:w="4680" w:type="dxa"/>
          </w:tcPr>
          <w:p>
            <w:pPr>
              <w:spacing w:after="0"/>
            </w:pPr>
            <w:r>
              <w:t xml:space="preserve">0</w:t>
            </w:r>
          </w:p>
        </w:tc>
      </w:tr>
      <w:tr>
        <w:tc>
          <w:tcPr>
            <w:tcW w:w="4680" w:type="dxa"/>
          </w:tcPr>
          <w:p>
            <w:pPr>
              <w:spacing w:after="0"/>
            </w:pPr>
            <w:r>
              <w:t xml:space="preserve">Word count</w:t>
            </w:r>
          </w:p>
        </w:tc>
        <w:tc>
          <w:tcPr>
            <w:tcW w:w="4680" w:type="dxa"/>
          </w:tcPr>
          <w:p>
            <w:pPr>
              <w:spacing w:after="0"/>
            </w:pPr>
            <w:r>
              <w:t xml:space="preserve">11683</w:t>
            </w:r>
          </w:p>
        </w:tc>
      </w:tr>
    </w:tbl>
    <w:p>
      <w:pPr/>
      <w:r>
        <w:t/>
      </w:r>
    </w:p>
    <w:p>
      <w:pPr>
        <w:spacing w:after="140"/>
      </w:pPr>
      <w:r>
        <w:t xml:space="preserve">Study design, corpus, preregistration, primary endpoint, sample, title, author list and every numerical result are unchanged. No analysis was added, recalculated or removed. No citation was added.</w:t>
      </w:r>
    </w:p>
    <w:p>
      <w:pPr>
        <w:pStyle w:val="Heading2"/>
        <w:spacing w:after="140"/>
      </w:pPr>
      <w:r>
        <w:t xml:space="preserve">Discrepancy raised against the instruction, no change made</w:t>
      </w:r>
    </w:p>
    <w:p>
      <w:pPr>
        <w:spacing w:after="140"/>
      </w:pPr>
      <w:r>
        <w:t xml:space="preserve">The instruction's numerical-integrity list gives the trained-reviewer coefficient as </w:t>
      </w:r>
      <w:r>
        <w:rPr>
          <w:b/>
        </w:rPr>
        <w:t xml:space="preserve">AC1 0.624, CI 0.349 to 0.898</w:t>
      </w:r>
      <w:r>
        <w:t xml:space="preserve">.</w:t>
      </w:r>
    </w:p>
    <w:p>
      <w:pPr>
        <w:spacing w:after="140"/>
      </w:pPr>
      <w:r>
        <w:t xml:space="preserve">The manuscript carries </w:t>
      </w:r>
      <w:r>
        <w:rPr>
          <w:b/>
        </w:rPr>
        <w:t xml:space="preserve">0.623</w:t>
      </w:r>
      <w:r>
        <w:t xml:space="preserve">, analytic CI </w:t>
      </w:r>
      <w:r>
        <w:rPr>
          <w:b/>
        </w:rPr>
        <w:t xml:space="preserve">0.253 to 0.994</w:t>
      </w:r>
      <w:r>
        <w:t xml:space="preserve">, bootstrap CI </w:t>
      </w:r>
      <w:r>
        <w:rPr>
          <w:b/>
        </w:rPr>
        <w:t xml:space="preserve">0.301 to 0.886</w:t>
      </w:r>
      <w:r>
        <w:t xml:space="preserve">.</w:t>
      </w:r>
    </w:p>
    <w:p>
      <w:pPr>
        <w:spacing w:after="140"/>
      </w:pPr>
      <w:r>
        <w:t xml:space="preserve">The manuscript's figures are the ones that reproduce from </w:t>
      </w:r>
      <w:r>
        <w:rPr>
          <w:rFonts w:ascii="Consolas" w:hAnsi="Consolas"/>
        </w:rPr>
        <w:t xml:space="preserve">bench_labels</w:t>
      </w:r>
      <w:r>
        <w:t xml:space="preserve">: the recomputed coefficient is 0.6228 on 68 labels from 14 raters. </w:t>
      </w:r>
      <w:r>
        <w:rPr>
          <w:b/>
        </w:rPr>
        <w:t xml:space="preserve">0.624 is the pre-2026-08-15 value</w:t>
      </w:r>
      <w:r>
        <w:t xml:space="preserve">, superseded when the trained-reviewer label count moved from 63 to 68, and </w:t>
      </w:r>
      <w:r>
        <w:rPr>
          <w:rFonts w:ascii="Consolas" w:hAnsi="Consolas"/>
        </w:rPr>
        <w:t xml:space="preserve">scripts/verify_manuscript_figures.py</w:t>
      </w:r>
      <w:r>
        <w:t xml:space="preserve"> carries 0.624 on its superseded-values blocklist for exactly that reason.</w:t>
      </w:r>
    </w:p>
    <w:p>
      <w:pPr>
        <w:spacing w:after="140"/>
      </w:pPr>
      <w:r>
        <w:rPr>
          <w:b/>
        </w:rPr>
        <w:t xml:space="preserve">Neither value was changed.</w:t>
      </w:r>
      <w:r>
        <w:t xml:space="preserve"> The instruction forbids changing numerical results, and writing 0.624 in would restore a superseded figure and contradict the database. Raised here for decision.</w:t>
      </w:r>
    </w:p>
    <w:p>
      <w:pPr>
        <w:pStyle w:val="Heading2"/>
        <w:spacing w:after="140"/>
      </w:pPr>
      <w:r>
        <w:t xml:space="preserve">Scope note on the pre-registration</w:t>
      </w:r>
    </w:p>
    <w:p>
      <w:pPr>
        <w:spacing w:after="140"/>
      </w:pPr>
      <w:r>
        <w:t xml:space="preserve">Revision 5 required "held-out key" standardised; the instruction separately forbids changing the pre-registration. Section 4.7 states the pre-registered detection threshold. </w:t>
      </w:r>
      <w:r>
        <w:rPr>
          <w:b/>
        </w:rPr>
        <w:t xml:space="preserve">The criterion is untouched</w:t>
      </w:r>
      <w:r>
        <w:t xml:space="preserve">: a lower 95 percent bound above 0.50 and a pre-set target of at least 0.70. Only the noun for the object agreement is measured against was standardised, and the sentence is not a marked quotation.</w:t>
      </w:r>
    </w:p>
    <w:p>
      <w:pPr>
        <w:pStyle w:val="Heading2"/>
        <w:spacing w:after="140"/>
      </w:pPr>
      <w:r>
        <w:t xml:space="preserve">Bare-key references, caught by the final QA sweep</w:t>
      </w:r>
    </w:p>
    <w:p>
      <w:pPr>
        <w:spacing w:after="140"/>
      </w:pPr>
      <w:r>
        <w:rPr>
          <w:rFonts w:ascii="Consolas" w:hAnsi="Consolas"/>
        </w:rPr>
        <w:t xml:space="preserve">answer key</w:t>
      </w:r>
      <w:r>
        <w:t xml:space="preserve"> reached zero while </w:t>
      </w:r>
      <w:r>
        <w:rPr>
          <w:b/>
        </w:rPr>
        <w:t xml:space="preserve">six bare references survived</w:t>
      </w:r>
      <w:r>
        <w:t xml:space="preserve">: "blind to the key", "a key existed to be recovered", "about the key is withheld", "reproduction of the key", "established the key", and the Section 4.1 table row. A search for one phrase leaves exactly that gap. All six are standardised and each is now on the forbidden list.</w:t>
      </w:r>
    </w:p>
    <w:p>
      <w:pPr>
        <w:spacing w:after="140"/>
      </w:pPr>
      <w:r>
        <w:t xml:space="preserve">"v5 surgical revision completed. No primary study result, preregistered threshold, corpus composition, or substantive methodological finding was changed."</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