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v9, reconciliation change log</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research/Detection_Article_v8_2026-08-18.md</w:t>
      </w:r>
    </w:p>
    <w:p>
      <w:pPr>
        <w:spacing w:after="140"/>
      </w:pPr>
      <w:r>
        <w:rPr>
          <w:b/>
        </w:rPr>
        <w:t xml:space="preserve">Output:</w:t>
      </w:r>
      <w:r>
        <w:t xml:space="preserve"> </w:t>
      </w:r>
      <w:r>
        <w:rPr>
          <w:rFonts w:ascii="Consolas" w:hAnsi="Consolas"/>
        </w:rPr>
        <w:t xml:space="preserve">research/Detection_Article_v9_2026-08-18.md</w:t>
      </w:r>
    </w:p>
    <w:p>
      <w:pPr>
        <w:spacing w:after="140"/>
      </w:pPr>
      <w:r>
        <w:rPr>
          <w:b/>
        </w:rPr>
        <w:t xml:space="preserve">Script:</w:t>
      </w:r>
      <w:r>
        <w:t xml:space="preserve"> </w:t>
      </w:r>
      <w:r>
        <w:rPr>
          <w:rFonts w:ascii="Consolas" w:hAnsi="Consolas"/>
        </w:rPr>
        <w:t xml:space="preserve">scripts/apply_v9_reconciliation.py</w:t>
      </w:r>
    </w:p>
    <w:p>
      <w:pPr>
        <w:spacing w:after="140"/>
      </w:pPr>
      <w:r>
        <w:t xml:space="preserve">One edit, to the Acknowledgments only. Sections 1 through 8, the References, and Appendices A, B and C are byte-identical to v8. No AC1, confidence interval, label count, record count or other reported result was changed.</w:t>
      </w:r>
    </w:p>
    <w:p>
      <w:pPr>
        <w:pBdr>
          <w:bottom w:val="single" w:sz="6" w:space="1" w:color="AAAAAA"/>
        </w:pBdr>
      </w:pPr>
    </w:p>
    <w:p>
      <w:pPr>
        <w:pStyle w:val="Heading2"/>
        <w:spacing w:after="140"/>
      </w:pPr>
      <w:r>
        <w:t xml:space="preserve">1. The reconciliation, from source</w:t>
      </w:r>
    </w:p>
    <w:p>
      <w:pPr>
        <w:spacing w:after="140"/>
      </w:pPr>
      <w:r>
        <w:rPr>
          <w:b/>
        </w:rPr>
        <w:t xml:space="preserve">Question.</w:t>
      </w:r>
      <w:r>
        <w:t xml:space="preserve"> Section 6.5 reports 8 expert and 14 trained raters, 22 in total. The Acknowledgments credited 25, eight expert and seventeen trained. Why do they differ?</w:t>
      </w:r>
    </w:p>
    <w:p>
      <w:pPr>
        <w:spacing w:after="140"/>
      </w:pPr>
      <w:r>
        <w:rPr>
          <w:b/>
        </w:rPr>
        <w:t xml:space="preserve">Answer, and it is not attrition and not a recruitment figure.</w:t>
      </w:r>
      <w:r>
        <w:t xml:space="preserve"> Both are counts of raters who submitted labels on the same shared 10-record set. They differ by the pre-registered inclusion rule the manuscript already states in Section 6.5 and in the Methods: </w:t>
      </w:r>
      <w:r>
        <w:rPr>
          <w:i/>
        </w:rPr>
        <w:t xml:space="preserve">labels recorded under the five-condition instrument (`mode = jrs`), one label per rater per record, latest submission retained</w:t>
      </w:r>
      <w:r>
        <w:t xml:space="preser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Quantity</w:t>
            </w:r>
          </w:p>
        </w:tc>
        <w:tc>
          <w:tcPr>
            <w:tcW w:w="3120" w:type="dxa"/>
          </w:tcPr>
          <w:p>
            <w:pPr>
              <w:spacing w:after="0"/>
            </w:pPr>
            <w:r>
              <w:t xml:space="preserve">Value</w:t>
            </w:r>
          </w:p>
        </w:tc>
        <w:tc>
          <w:tcPr>
            <w:tcW w:w="3120" w:type="dxa"/>
          </w:tcPr>
          <w:p>
            <w:pPr>
              <w:spacing w:after="0"/>
            </w:pPr>
            <w:r>
              <w:t xml:space="preserve">Composition</w:t>
            </w:r>
          </w:p>
        </w:tc>
      </w:tr>
      <w:tr>
        <w:tc>
          <w:tcPr>
            <w:tcW w:w="3120" w:type="dxa"/>
          </w:tcPr>
          <w:p>
            <w:pPr>
              <w:spacing w:after="0"/>
            </w:pPr>
            <w:r>
              <w:t xml:space="preserve">Raters who labelled the reliability set</w:t>
            </w:r>
          </w:p>
        </w:tc>
        <w:tc>
          <w:tcPr>
            <w:tcW w:w="3120" w:type="dxa"/>
          </w:tcPr>
          <w:p>
            <w:pPr>
              <w:spacing w:after="0"/>
            </w:pPr>
            <w:r>
              <w:rPr>
                <w:b/>
              </w:rPr>
              <w:t xml:space="preserve">25</w:t>
            </w:r>
          </w:p>
        </w:tc>
        <w:tc>
          <w:tcPr>
            <w:tcW w:w="3120" w:type="dxa"/>
          </w:tcPr>
          <w:p>
            <w:pPr>
              <w:spacing w:after="0"/>
            </w:pPr>
            <w:r>
              <w:t xml:space="preserve">8 expert, 17 trained</w:t>
            </w:r>
          </w:p>
        </w:tc>
      </w:tr>
      <w:tr>
        <w:tc>
          <w:tcPr>
            <w:tcW w:w="3120" w:type="dxa"/>
          </w:tcPr>
          <w:p>
            <w:pPr>
              <w:spacing w:after="0"/>
            </w:pPr>
            <w:r>
              <w:t xml:space="preserve">Raters in the analysed sample</w:t>
            </w:r>
          </w:p>
        </w:tc>
        <w:tc>
          <w:tcPr>
            <w:tcW w:w="3120" w:type="dxa"/>
          </w:tcPr>
          <w:p>
            <w:pPr>
              <w:spacing w:after="0"/>
            </w:pPr>
            <w:r>
              <w:rPr>
                <w:b/>
              </w:rPr>
              <w:t xml:space="preserve">22</w:t>
            </w:r>
          </w:p>
        </w:tc>
        <w:tc>
          <w:tcPr>
            <w:tcW w:w="3120" w:type="dxa"/>
          </w:tcPr>
          <w:p>
            <w:pPr>
              <w:spacing w:after="0"/>
            </w:pPr>
            <w:r>
              <w:t xml:space="preserve">8 expert, 14 trained</w:t>
            </w:r>
          </w:p>
        </w:tc>
      </w:tr>
      <w:tr>
        <w:tc>
          <w:tcPr>
            <w:tcW w:w="3120" w:type="dxa"/>
          </w:tcPr>
          <w:p>
            <w:pPr>
              <w:spacing w:after="0"/>
            </w:pPr>
            <w:r>
              <w:t xml:space="preserve">Difference</w:t>
            </w:r>
          </w:p>
        </w:tc>
        <w:tc>
          <w:tcPr>
            <w:tcW w:w="3120" w:type="dxa"/>
          </w:tcPr>
          <w:p>
            <w:pPr>
              <w:spacing w:after="0"/>
            </w:pPr>
            <w:r>
              <w:rPr>
                <w:b/>
              </w:rPr>
              <w:t xml:space="preserve">3</w:t>
            </w:r>
          </w:p>
        </w:tc>
        <w:tc>
          <w:tcPr>
            <w:tcW w:w="3120" w:type="dxa"/>
          </w:tcPr>
          <w:p>
            <w:pPr>
              <w:spacing w:after="0"/>
            </w:pPr>
            <w:r>
              <w:t xml:space="preserve">trained raters who used the unstructured baseline prompt, contributing 16 labels</w:t>
            </w:r>
          </w:p>
        </w:tc>
      </w:tr>
    </w:tbl>
    <w:p>
      <w:pPr/>
      <w:r>
        <w:t/>
      </w:r>
    </w:p>
    <w:p>
      <w:pPr>
        <w:pStyle w:val="Heading3"/>
        <w:spacing w:after="140"/>
      </w:pPr>
      <w:r>
        <w:t xml:space="preserve">The excluded raters, named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Rater</w:t>
            </w:r>
          </w:p>
        </w:tc>
        <w:tc>
          <w:tcPr>
            <w:tcW w:w="3120" w:type="dxa"/>
          </w:tcPr>
          <w:p>
            <w:pPr>
              <w:spacing w:after="0"/>
            </w:pPr>
            <w:r>
              <w:t xml:space="preserve">Labels</w:t>
            </w:r>
          </w:p>
        </w:tc>
        <w:tc>
          <w:tcPr>
            <w:tcW w:w="3120" w:type="dxa"/>
          </w:tcPr>
          <w:p>
            <w:pPr>
              <w:spacing w:after="0"/>
            </w:pPr>
            <w:r>
              <w:t xml:space="preserve">Instrument</w:t>
            </w:r>
          </w:p>
        </w:tc>
      </w:tr>
      <w:tr>
        <w:tc>
          <w:tcPr>
            <w:tcW w:w="3120" w:type="dxa"/>
          </w:tcPr>
          <w:p>
            <w:pPr>
              <w:spacing w:after="0"/>
            </w:pPr>
            <w:r>
              <w:rPr>
                <w:rFonts w:ascii="Consolas" w:hAnsi="Consolas"/>
              </w:rPr>
              <w:t xml:space="preserve">R-mqhv2o4r8nct</w:t>
            </w:r>
          </w:p>
        </w:tc>
        <w:tc>
          <w:tcPr>
            <w:tcW w:w="3120" w:type="dxa"/>
          </w:tcPr>
          <w:p>
            <w:pPr>
              <w:spacing w:after="0"/>
            </w:pPr>
            <w:r>
              <w:t xml:space="preserve">see source</w:t>
            </w:r>
          </w:p>
        </w:tc>
        <w:tc>
          <w:tcPr>
            <w:tcW w:w="3120" w:type="dxa"/>
          </w:tcPr>
          <w:p>
            <w:pPr>
              <w:spacing w:after="0"/>
            </w:pPr>
            <w:r>
              <w:rPr>
                <w:rFonts w:ascii="Consolas" w:hAnsi="Consolas"/>
              </w:rPr>
              <w:t xml:space="preserve">normal</w:t>
            </w:r>
            <w:r>
              <w:t xml:space="preserve">, unstructured baseline</w:t>
            </w:r>
          </w:p>
        </w:tc>
      </w:tr>
      <w:tr>
        <w:tc>
          <w:tcPr>
            <w:tcW w:w="3120" w:type="dxa"/>
          </w:tcPr>
          <w:p>
            <w:pPr>
              <w:spacing w:after="0"/>
            </w:pPr>
            <w:r>
              <w:rPr>
                <w:rFonts w:ascii="Consolas" w:hAnsi="Consolas"/>
              </w:rPr>
              <w:t xml:space="preserve">R-mqn414vzho7i</w:t>
            </w:r>
          </w:p>
        </w:tc>
        <w:tc>
          <w:tcPr>
            <w:tcW w:w="3120" w:type="dxa"/>
          </w:tcPr>
          <w:p>
            <w:pPr>
              <w:spacing w:after="0"/>
            </w:pPr>
            <w:r>
              <w:t xml:space="preserve">see source</w:t>
            </w:r>
          </w:p>
        </w:tc>
        <w:tc>
          <w:tcPr>
            <w:tcW w:w="3120" w:type="dxa"/>
          </w:tcPr>
          <w:p>
            <w:pPr>
              <w:spacing w:after="0"/>
            </w:pPr>
            <w:r>
              <w:rPr>
                <w:rFonts w:ascii="Consolas" w:hAnsi="Consolas"/>
              </w:rPr>
              <w:t xml:space="preserve">normal</w:t>
            </w:r>
            <w:r>
              <w:t xml:space="preserve">, unstructured baseline</w:t>
            </w:r>
          </w:p>
        </w:tc>
      </w:tr>
      <w:tr>
        <w:tc>
          <w:tcPr>
            <w:tcW w:w="3120" w:type="dxa"/>
          </w:tcPr>
          <w:p>
            <w:pPr>
              <w:spacing w:after="0"/>
            </w:pPr>
            <w:r>
              <w:rPr>
                <w:rFonts w:ascii="Consolas" w:hAnsi="Consolas"/>
              </w:rPr>
              <w:t xml:space="preserve">R-mqnibu38bbxi</w:t>
            </w:r>
          </w:p>
        </w:tc>
        <w:tc>
          <w:tcPr>
            <w:tcW w:w="3120" w:type="dxa"/>
          </w:tcPr>
          <w:p>
            <w:pPr>
              <w:spacing w:after="0"/>
            </w:pPr>
            <w:r>
              <w:t xml:space="preserve">see source</w:t>
            </w:r>
          </w:p>
        </w:tc>
        <w:tc>
          <w:tcPr>
            <w:tcW w:w="3120" w:type="dxa"/>
          </w:tcPr>
          <w:p>
            <w:pPr>
              <w:spacing w:after="0"/>
            </w:pPr>
            <w:r>
              <w:rPr>
                <w:rFonts w:ascii="Consolas" w:hAnsi="Consolas"/>
              </w:rPr>
              <w:t xml:space="preserve">normal</w:t>
            </w:r>
            <w:r>
              <w:t xml:space="preserve">, unstructured baseline</w:t>
            </w:r>
          </w:p>
        </w:tc>
      </w:tr>
    </w:tbl>
    <w:p>
      <w:pPr/>
      <w:r>
        <w:t/>
      </w:r>
    </w:p>
    <w:p>
      <w:pPr>
        <w:spacing w:after="140"/>
      </w:pPr>
      <w:r>
        <w:t xml:space="preserve">Total 16 labels. This is the same figure the manuscript already discloses in the Methods as </w:t>
      </w:r>
      <w:r>
        <w:rPr>
          <w:i/>
        </w:rPr>
        <w:t xml:space="preserve">"Sixteen labels in the same table were recorded by raters working under an unstructured baseline prompt rather than the five conditions."</w:t>
      </w:r>
      <w:r>
        <w:t xml:space="preserve"> The Acknowledgments and the Methods were describing the same three people; only the Acknowledgments did not say so.</w:t>
      </w:r>
    </w:p>
    <w:p>
      <w:pPr>
        <w:pStyle w:val="Heading3"/>
        <w:spacing w:after="140"/>
      </w:pPr>
      <w:r>
        <w:t xml:space="preserve">Exact sources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Claim</w:t>
            </w:r>
          </w:p>
        </w:tc>
        <w:tc>
          <w:tcPr>
            <w:tcW w:w="3120" w:type="dxa"/>
          </w:tcPr>
          <w:p>
            <w:pPr>
              <w:spacing w:after="0"/>
            </w:pPr>
            <w:r>
              <w:t xml:space="preserve">File</w:t>
            </w:r>
          </w:p>
        </w:tc>
        <w:tc>
          <w:tcPr>
            <w:tcW w:w="3120" w:type="dxa"/>
          </w:tcPr>
          <w:p>
            <w:pPr>
              <w:spacing w:after="0"/>
            </w:pPr>
            <w:r>
              <w:t xml:space="preserve">Evidence</w:t>
            </w:r>
          </w:p>
        </w:tc>
      </w:tr>
      <w:tr>
        <w:tc>
          <w:tcPr>
            <w:tcW w:w="3120" w:type="dxa"/>
          </w:tcPr>
          <w:p>
            <w:pPr>
              <w:spacing w:after="0"/>
            </w:pPr>
            <w:r>
              <w:t xml:space="preserve">25 raters, 8 expert and 17 trained</w:t>
            </w:r>
          </w:p>
        </w:tc>
        <w:tc>
          <w:tcPr>
            <w:tcW w:w="3120" w:type="dxa"/>
          </w:tcPr>
          <w:p>
            <w:pPr>
              <w:spacing w:after="0"/>
            </w:pPr>
            <w:r>
              <w:rPr>
                <w:rFonts w:ascii="Consolas" w:hAnsi="Consolas"/>
              </w:rPr>
              <w:t xml:space="preserve">research/REVIEWER_ROSTER_COMPLETE.md</w:t>
            </w:r>
            <w:r>
              <w:t xml:space="preserve"> section </w:t>
            </w:r>
            <w:r>
              <w:rPr>
                <w:b/>
              </w:rPr>
              <w:t xml:space="preserve">004 Reviewer reliability</w:t>
            </w:r>
          </w:p>
        </w:tc>
        <w:tc>
          <w:tcPr>
            <w:tcW w:w="3120" w:type="dxa"/>
          </w:tcPr>
          <w:p>
            <w:pPr>
              <w:spacing w:after="0"/>
            </w:pPr>
            <w:r>
              <w:t xml:space="preserve">states </w:t>
            </w:r>
            <w:r>
              <w:rPr>
                <w:b/>
              </w:rPr>
              <w:t xml:space="preserve">"25 reviewers."</w:t>
            </w:r>
            <w:r>
              <w:t xml:space="preserve"> and tabulates 25 codes: 8 </w:t>
            </w:r>
            <w:r>
              <w:rPr>
                <w:rFonts w:ascii="Consolas" w:hAnsi="Consolas"/>
              </w:rPr>
              <w:t xml:space="preserve">E-</w:t>
            </w:r>
            <w:r>
              <w:t xml:space="preserve"> and 17 </w:t>
            </w:r>
            <w:r>
              <w:rPr>
                <w:rFonts w:ascii="Consolas" w:hAnsi="Consolas"/>
              </w:rPr>
              <w:t xml:space="preserve">R-</w:t>
            </w:r>
          </w:p>
        </w:tc>
      </w:tr>
      <w:tr>
        <w:tc>
          <w:tcPr>
            <w:tcW w:w="3120" w:type="dxa"/>
          </w:tcPr>
          <w:p>
            <w:pPr>
              <w:spacing w:after="0"/>
            </w:pPr>
            <w:r>
              <w:t xml:space="preserve">Same figure carried in the programme state</w:t>
            </w:r>
          </w:p>
        </w:tc>
        <w:tc>
          <w:tcPr>
            <w:tcW w:w="3120" w:type="dxa"/>
          </w:tcPr>
          <w:p>
            <w:pPr>
              <w:spacing w:after="0"/>
            </w:pPr>
            <w:r>
              <w:rPr>
                <w:rFonts w:ascii="Consolas" w:hAnsi="Consolas"/>
              </w:rPr>
              <w:t xml:space="preserve">research/MASTER_TRACKER.md</w:t>
            </w:r>
          </w:p>
        </w:tc>
        <w:tc>
          <w:tcPr>
            <w:tcW w:w="3120" w:type="dxa"/>
          </w:tcPr>
          <w:p>
            <w:pPr>
              <w:spacing w:after="0"/>
            </w:pPr>
            <w:r>
              <w:t xml:space="preserve">key </w:t>
            </w:r>
            <w:r>
              <w:rPr>
                <w:rFonts w:ascii="Consolas" w:hAnsi="Consolas"/>
              </w:rPr>
              <w:t xml:space="preserve">reliability_raters</w:t>
            </w:r>
            <w:r>
              <w:t xml:space="preserve"> = 25 (8 expert raters, 17 trained reviewers)</w:t>
            </w:r>
          </w:p>
        </w:tc>
      </w:tr>
      <w:tr>
        <w:tc>
          <w:tcPr>
            <w:tcW w:w="3120" w:type="dxa"/>
          </w:tcPr>
          <w:p>
            <w:pPr>
              <w:spacing w:after="0"/>
            </w:pPr>
            <w:r>
              <w:t xml:space="preserve">17 trained under all instruments, 14 under the five conditions</w:t>
            </w:r>
          </w:p>
        </w:tc>
        <w:tc>
          <w:tcPr>
            <w:tcW w:w="3120" w:type="dxa"/>
          </w:tcPr>
          <w:p>
            <w:pPr>
              <w:spacing w:after="0"/>
            </w:pPr>
            <w:r>
              <w:rPr>
                <w:rFonts w:ascii="Consolas" w:hAnsi="Consolas"/>
              </w:rPr>
              <w:t xml:space="preserve">research/Detection_Article_Figure_Update_2026-08-15.md</w:t>
            </w:r>
          </w:p>
        </w:tc>
        <w:tc>
          <w:tcPr>
            <w:tcW w:w="3120" w:type="dxa"/>
          </w:tcPr>
          <w:p>
            <w:pPr>
              <w:spacing w:after="0"/>
            </w:pPr>
            <w:r>
              <w:t xml:space="preserve">AC1 by inclusion rule: </w:t>
            </w:r>
            <w:r>
              <w:rPr>
                <w:rFonts w:ascii="Consolas" w:hAnsi="Consolas"/>
              </w:rPr>
              <w:t xml:space="preserve">jrs</w:t>
            </w:r>
            <w:r>
              <w:t xml:space="preserve"> only = 0.623 on 68 labels from </w:t>
            </w:r>
            <w:r>
              <w:rPr>
                <w:b/>
              </w:rPr>
              <w:t xml:space="preserve">14</w:t>
            </w:r>
            <w:r>
              <w:t xml:space="preserve"> raters; all modes = 0.157 on </w:t>
            </w:r>
            <w:r>
              <w:rPr>
                <w:b/>
              </w:rPr>
              <w:t xml:space="preserve">17</w:t>
            </w:r>
            <w:r>
              <w:t xml:space="preserve"> raters</w:t>
            </w:r>
          </w:p>
        </w:tc>
      </w:tr>
      <w:tr>
        <w:tc>
          <w:tcPr>
            <w:tcW w:w="3120" w:type="dxa"/>
          </w:tcPr>
          <w:p>
            <w:pPr>
              <w:spacing w:after="0"/>
            </w:pPr>
            <w:r>
              <w:t xml:space="preserve">The three excluded raters are baseline-mode raters</w:t>
            </w:r>
          </w:p>
        </w:tc>
        <w:tc>
          <w:tcPr>
            <w:tcW w:w="3120" w:type="dxa"/>
          </w:tcPr>
          <w:p>
            <w:pPr>
              <w:spacing w:after="0"/>
            </w:pPr>
            <w:r>
              <w:t xml:space="preserve">same file</w:t>
            </w:r>
          </w:p>
        </w:tc>
        <w:tc>
          <w:tcPr>
            <w:tcW w:w="3120" w:type="dxa"/>
          </w:tcPr>
          <w:p>
            <w:pPr>
              <w:spacing w:after="0"/>
            </w:pPr>
            <w:r>
              <w:t xml:space="preserve">rows </w:t>
            </w:r>
            <w:r>
              <w:rPr>
                <w:rFonts w:ascii="Consolas" w:hAnsi="Consolas"/>
              </w:rPr>
              <w:t xml:space="preserve">R-mqhv2o4r8nct</w:t>
            </w:r>
            <w:r>
              <w:t xml:space="preserve">, </w:t>
            </w:r>
            <w:r>
              <w:rPr>
                <w:rFonts w:ascii="Consolas" w:hAnsi="Consolas"/>
              </w:rPr>
              <w:t xml:space="preserve">R-mqn414vzho7i</w:t>
            </w:r>
            <w:r>
              <w:t xml:space="preserve">, </w:t>
            </w:r>
            <w:r>
              <w:rPr>
                <w:rFonts w:ascii="Consolas" w:hAnsi="Consolas"/>
              </w:rPr>
              <w:t xml:space="preserve">R-mqnibu38bbxi</w:t>
            </w:r>
            <w:r>
              <w:t xml:space="preserve"> marked </w:t>
            </w:r>
            <w:r>
              <w:rPr>
                <w:rFonts w:ascii="Consolas" w:hAnsi="Consolas"/>
              </w:rPr>
              <w:t xml:space="preserve">normal</w:t>
            </w:r>
          </w:p>
        </w:tc>
      </w:tr>
      <w:tr>
        <w:tc>
          <w:tcPr>
            <w:tcW w:w="3120" w:type="dxa"/>
          </w:tcPr>
          <w:p>
            <w:pPr>
              <w:spacing w:after="0"/>
            </w:pPr>
            <w:r>
              <w:t xml:space="preserve">Independent floor on the expert count</w:t>
            </w:r>
          </w:p>
        </w:tc>
        <w:tc>
          <w:tcPr>
            <w:tcW w:w="3120" w:type="dxa"/>
          </w:tcPr>
          <w:p>
            <w:pPr>
              <w:spacing w:after="0"/>
            </w:pPr>
            <w:r>
              <w:rPr>
                <w:rFonts w:ascii="Consolas" w:hAnsi="Consolas"/>
              </w:rPr>
              <w:t xml:space="preserve">research/reliability_labels_2026-08-04.tsv</w:t>
            </w:r>
          </w:p>
        </w:tc>
        <w:tc>
          <w:tcPr>
            <w:tcW w:w="3120" w:type="dxa"/>
          </w:tcPr>
          <w:p>
            <w:pPr>
              <w:spacing w:after="0"/>
            </w:pPr>
            <w:r>
              <w:t xml:space="preserve">8 distinct expert codes, 13 distinct trained codes, 99 labels, being the 2026-08-04 extract before the fourteenth trained rater's labels arrived</w:t>
            </w:r>
          </w:p>
        </w:tc>
      </w:tr>
    </w:tbl>
    <w:p>
      <w:pPr/>
      <w:r>
        <w:t/>
      </w:r>
    </w:p>
    <w:p>
      <w:pPr>
        <w:pStyle w:val="Heading3"/>
        <w:spacing w:after="140"/>
      </w:pPr>
      <w:r>
        <w:t xml:space="preserve">Arithmetic, checked at run time and fail-closed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roster total is experts plus trained</w:t>
            </w:r>
          </w:p>
        </w:tc>
        <w:tc>
          <w:tcPr>
            <w:tcW w:w="4680" w:type="dxa"/>
          </w:tcPr>
          <w:p>
            <w:pPr>
              <w:spacing w:after="0"/>
            </w:pPr>
            <w:r>
              <w:rPr>
                <w:b/>
              </w:rPr>
              <w:t xml:space="preserve">ok</w:t>
            </w:r>
          </w:p>
        </w:tc>
      </w:tr>
      <w:tr>
        <w:tc>
          <w:tcPr>
            <w:tcW w:w="4680" w:type="dxa"/>
          </w:tcPr>
          <w:p>
            <w:pPr>
              <w:spacing w:after="0"/>
            </w:pPr>
            <w:r>
              <w:t xml:space="preserve">all-modes trained count equals the roster trained count</w:t>
            </w:r>
          </w:p>
        </w:tc>
        <w:tc>
          <w:tcPr>
            <w:tcW w:w="4680" w:type="dxa"/>
          </w:tcPr>
          <w:p>
            <w:pPr>
              <w:spacing w:after="0"/>
            </w:pPr>
            <w:r>
              <w:rPr>
                <w:b/>
              </w:rPr>
              <w:t xml:space="preserve">ok</w:t>
            </w:r>
          </w:p>
        </w:tc>
      </w:tr>
      <w:tr>
        <w:tc>
          <w:tcPr>
            <w:tcW w:w="4680" w:type="dxa"/>
          </w:tcPr>
          <w:p>
            <w:pPr>
              <w:spacing w:after="0"/>
            </w:pPr>
            <w:r>
              <w:t xml:space="preserve">analysed trained equals roster trained minus the baseline-mode raters</w:t>
            </w:r>
          </w:p>
        </w:tc>
        <w:tc>
          <w:tcPr>
            <w:tcW w:w="4680" w:type="dxa"/>
          </w:tcPr>
          <w:p>
            <w:pPr>
              <w:spacing w:after="0"/>
            </w:pPr>
            <w:r>
              <w:rPr>
                <w:b/>
              </w:rPr>
              <w:t xml:space="preserve">ok</w:t>
            </w:r>
          </w:p>
        </w:tc>
      </w:tr>
      <w:tr>
        <w:tc>
          <w:tcPr>
            <w:tcW w:w="4680" w:type="dxa"/>
          </w:tcPr>
          <w:p>
            <w:pPr>
              <w:spacing w:after="0"/>
            </w:pPr>
            <w:r>
              <w:t xml:space="preserve">the excluded raters carry sixteen labels</w:t>
            </w:r>
          </w:p>
        </w:tc>
        <w:tc>
          <w:tcPr>
            <w:tcW w:w="4680" w:type="dxa"/>
          </w:tcPr>
          <w:p>
            <w:pPr>
              <w:spacing w:after="0"/>
            </w:pPr>
            <w:r>
              <w:rPr>
                <w:b/>
              </w:rPr>
              <w:t xml:space="preserve">ok</w:t>
            </w:r>
          </w:p>
        </w:tc>
      </w:tr>
      <w:tr>
        <w:tc>
          <w:tcPr>
            <w:tcW w:w="4680" w:type="dxa"/>
          </w:tcPr>
          <w:p>
            <w:pPr>
              <w:spacing w:after="0"/>
            </w:pPr>
            <w:r>
              <w:t xml:space="preserve">the 2026-08-04 extract holds the same expert count</w:t>
            </w:r>
          </w:p>
        </w:tc>
        <w:tc>
          <w:tcPr>
            <w:tcW w:w="4680" w:type="dxa"/>
          </w:tcPr>
          <w:p>
            <w:pPr>
              <w:spacing w:after="0"/>
            </w:pPr>
            <w:r>
              <w:rPr>
                <w:b/>
              </w:rPr>
              <w:t xml:space="preserve">ok</w:t>
            </w:r>
          </w:p>
        </w:tc>
      </w:tr>
      <w:tr>
        <w:tc>
          <w:tcPr>
            <w:tcW w:w="4680" w:type="dxa"/>
          </w:tcPr>
          <w:p>
            <w:pPr>
              <w:spacing w:after="0"/>
            </w:pPr>
            <w:r>
              <w:t xml:space="preserve">the extract's trained count is one below the current analysed count</w:t>
            </w:r>
          </w:p>
        </w:tc>
        <w:tc>
          <w:tcPr>
            <w:tcW w:w="4680" w:type="dxa"/>
          </w:tcPr>
          <w:p>
            <w:pPr>
              <w:spacing w:after="0"/>
            </w:pPr>
            <w:r>
              <w:rPr>
                <w:b/>
              </w:rPr>
              <w:t xml:space="preserve">ok</w:t>
            </w:r>
          </w:p>
        </w:tc>
      </w:tr>
    </w:tbl>
    <w:p>
      <w:pPr/>
      <w:r>
        <w:t/>
      </w:r>
    </w:p>
    <w:p>
      <w:pPr>
        <w:spacing w:after="140"/>
      </w:pPr>
      <w:r>
        <w:t xml:space="preserve">The script refuses to write the manuscript if any row above fails. The counts are parsed out of the evidence files at run time; none of them is typed into the script.</w:t>
      </w:r>
    </w:p>
    <w:p>
      <w:pPr>
        <w:pBdr>
          <w:bottom w:val="single" w:sz="6" w:space="1" w:color="AAAAAA"/>
        </w:pBdr>
      </w:pPr>
    </w:p>
    <w:p>
      <w:pPr>
        <w:pStyle w:val="Heading2"/>
        <w:spacing w:after="140"/>
      </w:pPr>
      <w:r>
        <w:t xml:space="preserve">2. The edit</w:t>
      </w:r>
    </w:p>
    <w:p>
      <w:pPr>
        <w:spacing w:after="140"/>
      </w:pPr>
      <w:r>
        <w:rPr>
          <w:b/>
        </w:rPr>
        <w:t xml:space="preserve">APPLIED. Edit 1, Acknowledgments, analysed sample distinguished from credited raters.</w:t>
      </w:r>
    </w:p>
    <w:p>
      <w:pPr>
        <w:spacing w:after="140"/>
      </w:pPr>
      <w:r>
        <w:rPr>
          <w:b/>
        </w:rPr>
        <w:t xml:space="preserve">Before</w:t>
      </w:r>
    </w:p>
    <w:p>
      <w:pPr>
        <w:spacing w:after="140"/>
      </w:pPr>
      <w:r>
        <w:t xml:space="preserve">&gt; </w:t>
      </w:r>
      <w:r>
        <w:rPr>
          <w:b/>
        </w:rPr>
        <w:t xml:space="preserve">The reliability study, 25 raters</w:t>
      </w:r>
      <w:r>
        <w:t xml:space="preserve">, eight expert and seventeen trained, produced the coefficients in Section 6.5 and the per-condition analysis in Appendix B, which exists only because they recorded a judgment on each of the five conditions separately rather than only the overall read.</w:t>
      </w:r>
    </w:p>
    <w:p>
      <w:pPr>
        <w:spacing w:after="140"/>
      </w:pPr>
      <w:r>
        <w:rPr>
          <w:b/>
        </w:rPr>
        <w:t xml:space="preserve">After</w:t>
      </w:r>
    </w:p>
    <w:p>
      <w:pPr>
        <w:spacing w:after="140"/>
      </w:pPr>
      <w:r>
        <w:t xml:space="preserve">&gt; </w:t>
      </w:r>
      <w:r>
        <w:rPr>
          <w:b/>
        </w:rPr>
        <w:t xml:space="preserve">The reliability study, 25 raters</w:t>
      </w:r>
      <w:r>
        <w:t xml:space="preserve">, eight expert and seventeen trained, recorded labels on the shared record set. Twenty-two of them, eight expert and fourteen trained, worked under the five-condition instrument and are the analysed sample behind the coefficients in Section 6.5; the other three trained raters worked under the unstructured baseline prompt and their labels are excluded from those coefficients by the inclusion rule stated in that section. All 25 are credited here because all 25 did the work. Appendix B exists only because the five-condition raters recorded a judgment on each of the five conditions separately rather than only the overall read.</w:t>
      </w:r>
    </w:p>
    <w:p>
      <w:pPr>
        <w:spacing w:after="140"/>
      </w:pPr>
      <w:r>
        <w:t xml:space="preserve">Credit is unchanged at 25. Nothing is withdrawn from anyone. The analysed sample is named beside the credited total so that a reader moving between the Acknowledgments and Section 6.5 is not left to reconcile 25 against 22 unaided, and so that no reader can mistake the credited total for the denominator of a coefficient.</w:t>
      </w:r>
    </w:p>
    <w:p>
      <w:pPr>
        <w:pBdr>
          <w:bottom w:val="single" w:sz="6" w:space="1" w:color="AAAAAA"/>
        </w:pBdr>
      </w:pPr>
    </w:p>
    <w:p>
      <w:pPr>
        <w:pStyle w:val="Heading2"/>
        <w:spacing w:after="140"/>
      </w:pPr>
      <w:r>
        <w:t xml:space="preserve">3. Global consistency sweep</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Quantity that must be present and unchanged</w:t>
            </w:r>
          </w:p>
        </w:tc>
        <w:tc>
          <w:tcPr>
            <w:tcW w:w="4680" w:type="dxa"/>
          </w:tcPr>
          <w:p>
            <w:pPr>
              <w:spacing w:after="0"/>
            </w:pPr>
            <w:r>
              <w:t xml:space="preserve">Present</w:t>
            </w:r>
          </w:p>
        </w:tc>
      </w:tr>
      <w:tr>
        <w:tc>
          <w:tcPr>
            <w:tcW w:w="4680" w:type="dxa"/>
          </w:tcPr>
          <w:p>
            <w:pPr>
              <w:spacing w:after="0"/>
            </w:pPr>
            <w:r>
              <w:t xml:space="preserve">credited reliability raters, Acknowledgments</w:t>
            </w:r>
          </w:p>
        </w:tc>
        <w:tc>
          <w:tcPr>
            <w:tcW w:w="4680" w:type="dxa"/>
          </w:tcPr>
          <w:p>
            <w:pPr>
              <w:spacing w:after="0"/>
            </w:pPr>
            <w:r>
              <w:t xml:space="preserve">yes</w:t>
            </w:r>
          </w:p>
        </w:tc>
      </w:tr>
      <w:tr>
        <w:tc>
          <w:tcPr>
            <w:tcW w:w="4680" w:type="dxa"/>
          </w:tcPr>
          <w:p>
            <w:pPr>
              <w:spacing w:after="0"/>
            </w:pPr>
            <w:r>
              <w:t xml:space="preserve">credited split, Acknowledgments</w:t>
            </w:r>
          </w:p>
        </w:tc>
        <w:tc>
          <w:tcPr>
            <w:tcW w:w="4680" w:type="dxa"/>
          </w:tcPr>
          <w:p>
            <w:pPr>
              <w:spacing w:after="0"/>
            </w:pPr>
            <w:r>
              <w:t xml:space="preserve">yes</w:t>
            </w:r>
          </w:p>
        </w:tc>
      </w:tr>
      <w:tr>
        <w:tc>
          <w:tcPr>
            <w:tcW w:w="4680" w:type="dxa"/>
          </w:tcPr>
          <w:p>
            <w:pPr>
              <w:spacing w:after="0"/>
            </w:pPr>
            <w:r>
              <w:t xml:space="preserve">analysed split, Acknowledgments</w:t>
            </w:r>
          </w:p>
        </w:tc>
        <w:tc>
          <w:tcPr>
            <w:tcW w:w="4680" w:type="dxa"/>
          </w:tcPr>
          <w:p>
            <w:pPr>
              <w:spacing w:after="0"/>
            </w:pPr>
            <w:r>
              <w:t xml:space="preserve">yes</w:t>
            </w:r>
          </w:p>
        </w:tc>
      </w:tr>
      <w:tr>
        <w:tc>
          <w:tcPr>
            <w:tcW w:w="4680" w:type="dxa"/>
          </w:tcPr>
          <w:p>
            <w:pPr>
              <w:spacing w:after="0"/>
            </w:pPr>
            <w:r>
              <w:t xml:space="preserve">excluded raters, Acknowledgments</w:t>
            </w:r>
          </w:p>
        </w:tc>
        <w:tc>
          <w:tcPr>
            <w:tcW w:w="4680" w:type="dxa"/>
          </w:tcPr>
          <w:p>
            <w:pPr>
              <w:spacing w:after="0"/>
            </w:pPr>
            <w:r>
              <w:t xml:space="preserve">yes</w:t>
            </w:r>
          </w:p>
        </w:tc>
      </w:tr>
      <w:tr>
        <w:tc>
          <w:tcPr>
            <w:tcW w:w="4680" w:type="dxa"/>
          </w:tcPr>
          <w:p>
            <w:pPr>
              <w:spacing w:after="0"/>
            </w:pPr>
            <w:r>
              <w:t xml:space="preserve">expert raters, Section 6.5 table</w:t>
            </w:r>
          </w:p>
        </w:tc>
        <w:tc>
          <w:tcPr>
            <w:tcW w:w="4680" w:type="dxa"/>
          </w:tcPr>
          <w:p>
            <w:pPr>
              <w:spacing w:after="0"/>
            </w:pPr>
            <w:r>
              <w:t xml:space="preserve">yes</w:t>
            </w:r>
          </w:p>
        </w:tc>
      </w:tr>
      <w:tr>
        <w:tc>
          <w:tcPr>
            <w:tcW w:w="4680" w:type="dxa"/>
          </w:tcPr>
          <w:p>
            <w:pPr>
              <w:spacing w:after="0"/>
            </w:pPr>
            <w:r>
              <w:t xml:space="preserve">trained raters, Section 6.5 table</w:t>
            </w:r>
          </w:p>
        </w:tc>
        <w:tc>
          <w:tcPr>
            <w:tcW w:w="4680" w:type="dxa"/>
          </w:tcPr>
          <w:p>
            <w:pPr>
              <w:spacing w:after="0"/>
            </w:pPr>
            <w:r>
              <w:t xml:space="preserve">yes</w:t>
            </w:r>
          </w:p>
        </w:tc>
      </w:tr>
      <w:tr>
        <w:tc>
          <w:tcPr>
            <w:tcW w:w="4680" w:type="dxa"/>
          </w:tcPr>
          <w:p>
            <w:pPr>
              <w:spacing w:after="0"/>
            </w:pPr>
            <w:r>
              <w:t xml:space="preserve">submitted determinations</w:t>
            </w:r>
          </w:p>
        </w:tc>
        <w:tc>
          <w:tcPr>
            <w:tcW w:w="4680" w:type="dxa"/>
          </w:tcPr>
          <w:p>
            <w:pPr>
              <w:spacing w:after="0"/>
            </w:pPr>
            <w:r>
              <w:t xml:space="preserve">yes</w:t>
            </w:r>
          </w:p>
        </w:tc>
      </w:tr>
      <w:tr>
        <w:tc>
          <w:tcPr>
            <w:tcW w:w="4680" w:type="dxa"/>
          </w:tcPr>
          <w:p>
            <w:pPr>
              <w:spacing w:after="0"/>
            </w:pPr>
            <w:r>
              <w:t xml:space="preserve">retained after deduplication</w:t>
            </w:r>
          </w:p>
        </w:tc>
        <w:tc>
          <w:tcPr>
            <w:tcW w:w="4680" w:type="dxa"/>
          </w:tcPr>
          <w:p>
            <w:pPr>
              <w:spacing w:after="0"/>
            </w:pPr>
            <w:r>
              <w:t xml:space="preserve">yes</w:t>
            </w:r>
          </w:p>
        </w:tc>
      </w:tr>
      <w:tr>
        <w:tc>
          <w:tcPr>
            <w:tcW w:w="4680" w:type="dxa"/>
          </w:tcPr>
          <w:p>
            <w:pPr>
              <w:spacing w:after="0"/>
            </w:pPr>
            <w:r>
              <w:t xml:space="preserve">excluded label count, Methods</w:t>
            </w:r>
          </w:p>
        </w:tc>
        <w:tc>
          <w:tcPr>
            <w:tcW w:w="4680" w:type="dxa"/>
          </w:tcPr>
          <w:p>
            <w:pPr>
              <w:spacing w:after="0"/>
            </w:pPr>
            <w:r>
              <w:t xml:space="preserve">yes</w:t>
            </w:r>
          </w:p>
        </w:tc>
      </w:tr>
      <w:tr>
        <w:tc>
          <w:tcPr>
            <w:tcW w:w="4680" w:type="dxa"/>
          </w:tcPr>
          <w:p>
            <w:pPr>
              <w:spacing w:after="0"/>
            </w:pPr>
            <w:r>
              <w:t xml:space="preserve">reliability record set</w:t>
            </w:r>
          </w:p>
        </w:tc>
        <w:tc>
          <w:tcPr>
            <w:tcW w:w="4680" w:type="dxa"/>
          </w:tcPr>
          <w:p>
            <w:pPr>
              <w:spacing w:after="0"/>
            </w:pPr>
            <w:r>
              <w:t xml:space="preserve">yes</w:t>
            </w:r>
          </w:p>
        </w:tc>
      </w:tr>
      <w:tr>
        <w:tc>
          <w:tcPr>
            <w:tcW w:w="4680" w:type="dxa"/>
          </w:tcPr>
          <w:p>
            <w:pPr>
              <w:spacing w:after="0"/>
            </w:pPr>
            <w:r>
              <w:t xml:space="preserve">pooled reliability target</w:t>
            </w:r>
          </w:p>
        </w:tc>
        <w:tc>
          <w:tcPr>
            <w:tcW w:w="4680" w:type="dxa"/>
          </w:tcPr>
          <w:p>
            <w:pPr>
              <w:spacing w:after="0"/>
            </w:pPr>
            <w:r>
              <w:t xml:space="preserve">yes</w:t>
            </w:r>
          </w:p>
        </w:tc>
      </w:tr>
      <w:tr>
        <w:tc>
          <w:tcPr>
            <w:tcW w:w="4680" w:type="dxa"/>
          </w:tcPr>
          <w:p>
            <w:pPr>
              <w:spacing w:after="0"/>
            </w:pPr>
            <w:r>
              <w:t xml:space="preserve">detection corpus</w:t>
            </w:r>
          </w:p>
        </w:tc>
        <w:tc>
          <w:tcPr>
            <w:tcW w:w="4680" w:type="dxa"/>
          </w:tcPr>
          <w:p>
            <w:pPr>
              <w:spacing w:after="0"/>
            </w:pPr>
            <w:r>
              <w:t xml:space="preserve">yes</w:t>
            </w:r>
          </w:p>
        </w:tc>
      </w:tr>
      <w:tr>
        <w:tc>
          <w:tcPr>
            <w:tcW w:w="4680" w:type="dxa"/>
          </w:tcPr>
          <w:p>
            <w:pPr>
              <w:spacing w:after="0"/>
            </w:pPr>
            <w:r>
              <w:t xml:space="preserve">expert AC1</w:t>
            </w:r>
          </w:p>
        </w:tc>
        <w:tc>
          <w:tcPr>
            <w:tcW w:w="4680" w:type="dxa"/>
          </w:tcPr>
          <w:p>
            <w:pPr>
              <w:spacing w:after="0"/>
            </w:pPr>
            <w:r>
              <w:t xml:space="preserve">yes</w:t>
            </w:r>
          </w:p>
        </w:tc>
      </w:tr>
      <w:tr>
        <w:tc>
          <w:tcPr>
            <w:tcW w:w="4680" w:type="dxa"/>
          </w:tcPr>
          <w:p>
            <w:pPr>
              <w:spacing w:after="0"/>
            </w:pPr>
            <w:r>
              <w:t xml:space="preserve">trained AC1</w:t>
            </w:r>
          </w:p>
        </w:tc>
        <w:tc>
          <w:tcPr>
            <w:tcW w:w="4680" w:type="dxa"/>
          </w:tcPr>
          <w:p>
            <w:pPr>
              <w:spacing w:after="0"/>
            </w:pPr>
            <w:r>
              <w:t xml:space="preserve">yes</w:t>
            </w:r>
          </w:p>
        </w:tc>
      </w:tr>
      <w:tr>
        <w:tc>
          <w:tcPr>
            <w:tcW w:w="4680" w:type="dxa"/>
          </w:tcPr>
          <w:p>
            <w:pPr>
              <w:spacing w:after="0"/>
            </w:pPr>
            <w:r>
              <w:t xml:space="preserve">trained analytic interval</w:t>
            </w:r>
          </w:p>
        </w:tc>
        <w:tc>
          <w:tcPr>
            <w:tcW w:w="4680" w:type="dxa"/>
          </w:tcPr>
          <w:p>
            <w:pPr>
              <w:spacing w:after="0"/>
            </w:pPr>
            <w:r>
              <w:t xml:space="preserve">yes</w:t>
            </w:r>
          </w:p>
        </w:tc>
      </w:tr>
      <w:tr>
        <w:tc>
          <w:tcPr>
            <w:tcW w:w="4680" w:type="dxa"/>
          </w:tcPr>
          <w:p>
            <w:pPr>
              <w:spacing w:after="0"/>
            </w:pPr>
            <w:r>
              <w:t xml:space="preserve">trained bootstrap interval</w:t>
            </w:r>
          </w:p>
        </w:tc>
        <w:tc>
          <w:tcPr>
            <w:tcW w:w="4680" w:type="dxa"/>
          </w:tcPr>
          <w:p>
            <w:pPr>
              <w:spacing w:after="0"/>
            </w:pPr>
            <w:r>
              <w:t xml:space="preserve">yes</w:t>
            </w:r>
          </w:p>
        </w:tc>
      </w:tr>
      <w:tr>
        <w:tc>
          <w:tcPr>
            <w:tcW w:w="4680" w:type="dxa"/>
          </w:tcPr>
          <w:p>
            <w:pPr>
              <w:spacing w:after="0"/>
            </w:pPr>
            <w:r>
              <w:t xml:space="preserve">expert analytic interval</w:t>
            </w:r>
          </w:p>
        </w:tc>
        <w:tc>
          <w:tcPr>
            <w:tcW w:w="4680" w:type="dxa"/>
          </w:tcPr>
          <w:p>
            <w:pPr>
              <w:spacing w:after="0"/>
            </w:pPr>
            <w:r>
              <w:t xml:space="preserve">yes</w:t>
            </w:r>
          </w:p>
        </w:tc>
      </w:tr>
      <w:tr>
        <w:tc>
          <w:tcPr>
            <w:tcW w:w="4680" w:type="dxa"/>
          </w:tcPr>
          <w:p>
            <w:pPr>
              <w:spacing w:after="0"/>
            </w:pPr>
            <w:r>
              <w:t xml:space="preserve">expert bootstrap interval</w:t>
            </w:r>
          </w:p>
        </w:tc>
        <w:tc>
          <w:tcPr>
            <w:tcW w:w="4680" w:type="dxa"/>
          </w:tcPr>
          <w:p>
            <w:pPr>
              <w:spacing w:after="0"/>
            </w:pPr>
            <w:r>
              <w:t xml:space="preserve">yes</w:t>
            </w:r>
          </w:p>
        </w:tc>
      </w:tr>
      <w:tr>
        <w:tc>
          <w:tcPr>
            <w:tcW w:w="4680" w:type="dxa"/>
          </w:tcPr>
          <w:p>
            <w:pPr>
              <w:spacing w:after="0"/>
            </w:pPr>
            <w:r>
              <w:t xml:space="preserve">detection panel size</w:t>
            </w:r>
          </w:p>
        </w:tc>
        <w:tc>
          <w:tcPr>
            <w:tcW w:w="4680" w:type="dxa"/>
          </w:tcPr>
          <w:p>
            <w:pPr>
              <w:spacing w:after="0"/>
            </w:pPr>
            <w:r>
              <w:t xml:space="preserve">yes</w:t>
            </w:r>
          </w:p>
        </w:tc>
      </w:tr>
      <w:tr>
        <w:tc>
          <w:tcPr>
            <w:tcW w:w="4680" w:type="dxa"/>
          </w:tcPr>
          <w:p>
            <w:pPr>
              <w:spacing w:after="0"/>
            </w:pPr>
            <w:r>
              <w:t xml:space="preserve">detection graded reads</w:t>
            </w:r>
          </w:p>
        </w:tc>
        <w:tc>
          <w:tcPr>
            <w:tcW w:w="4680" w:type="dxa"/>
          </w:tcPr>
          <w:p>
            <w:pPr>
              <w:spacing w:after="0"/>
            </w:pPr>
            <w:r>
              <w:t xml:space="preserve">yes</w:t>
            </w:r>
          </w:p>
        </w:tc>
      </w:tr>
      <w:tr>
        <w:tc>
          <w:tcPr>
            <w:tcW w:w="4680" w:type="dxa"/>
          </w:tcPr>
          <w:p>
            <w:pPr>
              <w:spacing w:after="0"/>
            </w:pPr>
            <w:r>
              <w:t xml:space="preserve">comparison panel size</w:t>
            </w:r>
          </w:p>
        </w:tc>
        <w:tc>
          <w:tcPr>
            <w:tcW w:w="4680" w:type="dxa"/>
          </w:tcPr>
          <w:p>
            <w:pPr>
              <w:spacing w:after="0"/>
            </w:pPr>
            <w:r>
              <w:t xml:space="preserve">yes</w:t>
            </w:r>
          </w:p>
        </w:tc>
      </w:tr>
      <w:tr>
        <w:tc>
          <w:tcPr>
            <w:tcW w:w="4680" w:type="dxa"/>
          </w:tcPr>
          <w:p>
            <w:pPr>
              <w:spacing w:after="0"/>
            </w:pPr>
            <w:r>
              <w:t xml:space="preserve">inclusion rule stated in Methods</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Superseded or misleading value that must be absent</w:t>
            </w:r>
          </w:p>
        </w:tc>
        <w:tc>
          <w:tcPr>
            <w:tcW w:w="3120" w:type="dxa"/>
          </w:tcPr>
          <w:p>
            <w:pPr>
              <w:spacing w:after="0"/>
            </w:pPr>
            <w:r>
              <w:t xml:space="preserve">Scope</w:t>
            </w:r>
          </w:p>
        </w:tc>
        <w:tc>
          <w:tcPr>
            <w:tcW w:w="3120" w:type="dxa"/>
          </w:tcPr>
          <w:p>
            <w:pPr>
              <w:spacing w:after="0"/>
            </w:pPr>
            <w:r>
              <w:t xml:space="preserve">Present</w:t>
            </w:r>
          </w:p>
        </w:tc>
      </w:tr>
      <w:tr>
        <w:tc>
          <w:tcPr>
            <w:tcW w:w="3120" w:type="dxa"/>
          </w:tcPr>
          <w:p>
            <w:pPr>
              <w:spacing w:after="0"/>
            </w:pPr>
            <w:r>
              <w:rPr>
                <w:rFonts w:ascii="Consolas" w:hAnsi="Consolas"/>
              </w:rPr>
              <w:t xml:space="preserve">0.624</w:t>
            </w:r>
            <w:r>
              <w:t xml:space="preserve"> (superseded trained AC1)</w:t>
            </w:r>
          </w:p>
        </w:tc>
        <w:tc>
          <w:tcPr>
            <w:tcW w:w="3120" w:type="dxa"/>
          </w:tcPr>
          <w:p>
            <w:pPr>
              <w:spacing w:after="0"/>
            </w:pPr>
            <w:r>
              <w:t xml:space="preserve">whole manuscript</w:t>
            </w:r>
          </w:p>
        </w:tc>
        <w:tc>
          <w:tcPr>
            <w:tcW w:w="3120" w:type="dxa"/>
          </w:tcPr>
          <w:p>
            <w:pPr>
              <w:spacing w:after="0"/>
            </w:pPr>
            <w:r>
              <w:t xml:space="preserve">no</w:t>
            </w:r>
          </w:p>
        </w:tc>
      </w:tr>
      <w:tr>
        <w:tc>
          <w:tcPr>
            <w:tcW w:w="3120" w:type="dxa"/>
          </w:tcPr>
          <w:p>
            <w:pPr>
              <w:spacing w:after="0"/>
            </w:pPr>
            <w:r>
              <w:rPr>
                <w:rFonts w:ascii="Consolas" w:hAnsi="Consolas"/>
              </w:rPr>
              <w:t xml:space="preserve">0.349 to 0.898</w:t>
            </w:r>
            <w:r>
              <w:t xml:space="preserve"> (superseded trained interval)</w:t>
            </w:r>
          </w:p>
        </w:tc>
        <w:tc>
          <w:tcPr>
            <w:tcW w:w="3120" w:type="dxa"/>
          </w:tcPr>
          <w:p>
            <w:pPr>
              <w:spacing w:after="0"/>
            </w:pPr>
            <w:r>
              <w:t xml:space="preserve">whole manuscript</w:t>
            </w:r>
          </w:p>
        </w:tc>
        <w:tc>
          <w:tcPr>
            <w:tcW w:w="3120" w:type="dxa"/>
          </w:tcPr>
          <w:p>
            <w:pPr>
              <w:spacing w:after="0"/>
            </w:pPr>
            <w:r>
              <w:t xml:space="preserve">no</w:t>
            </w:r>
          </w:p>
        </w:tc>
      </w:tr>
      <w:tr>
        <w:tc>
          <w:tcPr>
            <w:tcW w:w="3120" w:type="dxa"/>
          </w:tcPr>
          <w:p>
            <w:pPr>
              <w:spacing w:after="0"/>
            </w:pPr>
            <w:r>
              <w:rPr>
                <w:rFonts w:ascii="Consolas" w:hAnsi="Consolas"/>
              </w:rPr>
              <w:t xml:space="preserve">99 after keeping</w:t>
            </w:r>
            <w:r>
              <w:t xml:space="preserve"> (superseded retained-label count)</w:t>
            </w:r>
          </w:p>
        </w:tc>
        <w:tc>
          <w:tcPr>
            <w:tcW w:w="3120" w:type="dxa"/>
          </w:tcPr>
          <w:p>
            <w:pPr>
              <w:spacing w:after="0"/>
            </w:pPr>
            <w:r>
              <w:t xml:space="preserve">whole manuscript</w:t>
            </w:r>
          </w:p>
        </w:tc>
        <w:tc>
          <w:tcPr>
            <w:tcW w:w="3120" w:type="dxa"/>
          </w:tcPr>
          <w:p>
            <w:pPr>
              <w:spacing w:after="0"/>
            </w:pPr>
            <w:r>
              <w:t xml:space="preserve">no</w:t>
            </w:r>
          </w:p>
        </w:tc>
      </w:tr>
      <w:tr>
        <w:tc>
          <w:tcPr>
            <w:tcW w:w="3120" w:type="dxa"/>
          </w:tcPr>
          <w:p>
            <w:pPr>
              <w:spacing w:after="0"/>
            </w:pPr>
            <w:r>
              <w:rPr>
                <w:rFonts w:ascii="Consolas" w:hAnsi="Consolas"/>
              </w:rPr>
              <w:t xml:space="preserve">108 submitted</w:t>
            </w:r>
            <w:r>
              <w:t xml:space="preserve"> (superseded submitted-label count)</w:t>
            </w:r>
          </w:p>
        </w:tc>
        <w:tc>
          <w:tcPr>
            <w:tcW w:w="3120" w:type="dxa"/>
          </w:tcPr>
          <w:p>
            <w:pPr>
              <w:spacing w:after="0"/>
            </w:pPr>
            <w:r>
              <w:t xml:space="preserve">whole manuscript</w:t>
            </w:r>
          </w:p>
        </w:tc>
        <w:tc>
          <w:tcPr>
            <w:tcW w:w="3120" w:type="dxa"/>
          </w:tcPr>
          <w:p>
            <w:pPr>
              <w:spacing w:after="0"/>
            </w:pPr>
            <w:r>
              <w:t xml:space="preserve">no</w:t>
            </w:r>
          </w:p>
        </w:tc>
      </w:tr>
      <w:tr>
        <w:tc>
          <w:tcPr>
            <w:tcW w:w="3120" w:type="dxa"/>
          </w:tcPr>
          <w:p>
            <w:pPr>
              <w:spacing w:after="0"/>
            </w:pPr>
            <w:r>
              <w:rPr>
                <w:rFonts w:ascii="Consolas" w:hAnsi="Consolas"/>
              </w:rPr>
              <w:t xml:space="preserve">63 labels</w:t>
            </w:r>
            <w:r>
              <w:t xml:space="preserve"> (superseded trained-label count)</w:t>
            </w:r>
          </w:p>
        </w:tc>
        <w:tc>
          <w:tcPr>
            <w:tcW w:w="3120" w:type="dxa"/>
          </w:tcPr>
          <w:p>
            <w:pPr>
              <w:spacing w:after="0"/>
            </w:pPr>
            <w:r>
              <w:t xml:space="preserve">whole manuscript</w:t>
            </w:r>
          </w:p>
        </w:tc>
        <w:tc>
          <w:tcPr>
            <w:tcW w:w="3120" w:type="dxa"/>
          </w:tcPr>
          <w:p>
            <w:pPr>
              <w:spacing w:after="0"/>
            </w:pPr>
            <w:r>
              <w:t xml:space="preserve">no</w:t>
            </w:r>
          </w:p>
        </w:tc>
      </w:tr>
      <w:tr>
        <w:tc>
          <w:tcPr>
            <w:tcW w:w="3120" w:type="dxa"/>
          </w:tcPr>
          <w:p>
            <w:pPr>
              <w:spacing w:after="0"/>
            </w:pPr>
            <w:r>
              <w:rPr>
                <w:rFonts w:ascii="Consolas" w:hAnsi="Consolas"/>
              </w:rPr>
              <w:t xml:space="preserve">22 raters</w:t>
            </w:r>
            <w:r>
              <w:t xml:space="preserve"> (the analysed total is spelled out, never given as a credit)</w:t>
            </w:r>
          </w:p>
        </w:tc>
        <w:tc>
          <w:tcPr>
            <w:tcW w:w="3120" w:type="dxa"/>
          </w:tcPr>
          <w:p>
            <w:pPr>
              <w:spacing w:after="0"/>
            </w:pPr>
            <w:r>
              <w:t xml:space="preserve">Acknowledgments</w:t>
            </w:r>
          </w:p>
        </w:tc>
        <w:tc>
          <w:tcPr>
            <w:tcW w:w="3120" w:type="dxa"/>
          </w:tcPr>
          <w:p>
            <w:pPr>
              <w:spacing w:after="0"/>
            </w:pPr>
            <w:r>
              <w:t xml:space="preserve">no</w:t>
            </w:r>
          </w:p>
        </w:tc>
      </w:tr>
      <w:tr>
        <w:tc>
          <w:tcPr>
            <w:tcW w:w="3120" w:type="dxa"/>
          </w:tcPr>
          <w:p>
            <w:pPr>
              <w:spacing w:after="0"/>
            </w:pPr>
            <w:r>
              <w:rPr>
                <w:rFonts w:ascii="Consolas" w:hAnsi="Consolas"/>
              </w:rPr>
              <w:t xml:space="preserve">25 analysed</w:t>
            </w:r>
            <w:r>
              <w:t xml:space="preserve"> (the credited total is not the analysed total)</w:t>
            </w:r>
          </w:p>
        </w:tc>
        <w:tc>
          <w:tcPr>
            <w:tcW w:w="3120" w:type="dxa"/>
          </w:tcPr>
          <w:p>
            <w:pPr>
              <w:spacing w:after="0"/>
            </w:pPr>
            <w:r>
              <w:t xml:space="preserve">whole manuscript</w:t>
            </w:r>
          </w:p>
        </w:tc>
        <w:tc>
          <w:tcPr>
            <w:tcW w:w="3120" w:type="dxa"/>
          </w:tcPr>
          <w:p>
            <w:pPr>
              <w:spacing w:after="0"/>
            </w:pPr>
            <w:r>
              <w:t xml:space="preserve">no</w:t>
            </w:r>
          </w:p>
        </w:tc>
      </w:tr>
      <w:tr>
        <w:tc>
          <w:tcPr>
            <w:tcW w:w="3120" w:type="dxa"/>
          </w:tcPr>
          <w:p>
            <w:pPr>
              <w:spacing w:after="0"/>
            </w:pPr>
            <w:r>
              <w:rPr>
                <w:rFonts w:ascii="Consolas" w:hAnsi="Consolas"/>
              </w:rPr>
              <w:t xml:space="preserve">recruited</w:t>
            </w:r>
            <w:r>
              <w:t xml:space="preserve"> (the 25 is a labelling count, not a recruitment figure)</w:t>
            </w:r>
          </w:p>
        </w:tc>
        <w:tc>
          <w:tcPr>
            <w:tcW w:w="3120" w:type="dxa"/>
          </w:tcPr>
          <w:p>
            <w:pPr>
              <w:spacing w:after="0"/>
            </w:pPr>
            <w:r>
              <w:t xml:space="preserve">Acknowledgments</w:t>
            </w:r>
          </w:p>
        </w:tc>
        <w:tc>
          <w:tcPr>
            <w:tcW w:w="3120" w:type="dxa"/>
          </w:tcPr>
          <w:p>
            <w:pPr>
              <w:spacing w:after="0"/>
            </w:pPr>
            <w:r>
              <w:t xml:space="preserve">no</w:t>
            </w:r>
          </w:p>
        </w:tc>
      </w:tr>
      <w:tr>
        <w:tc>
          <w:tcPr>
            <w:tcW w:w="3120" w:type="dxa"/>
          </w:tcPr>
          <w:p>
            <w:pPr>
              <w:spacing w:after="0"/>
            </w:pPr>
            <w:r>
              <w:rPr>
                <w:rFonts w:ascii="Consolas" w:hAnsi="Consolas"/>
              </w:rPr>
              <w:t xml:space="preserve">recruit</w:t>
            </w:r>
            <w:r>
              <w:t xml:space="preserve"> (the 25 is a labelling count, not a recruitment figure)</w:t>
            </w:r>
          </w:p>
        </w:tc>
        <w:tc>
          <w:tcPr>
            <w:tcW w:w="3120" w:type="dxa"/>
          </w:tcPr>
          <w:p>
            <w:pPr>
              <w:spacing w:after="0"/>
            </w:pPr>
            <w:r>
              <w:t xml:space="preserve">Acknowledgments</w:t>
            </w:r>
          </w:p>
        </w:tc>
        <w:tc>
          <w:tcPr>
            <w:tcW w:w="3120" w:type="dxa"/>
          </w:tcPr>
          <w:p>
            <w:pPr>
              <w:spacing w:after="0"/>
            </w:pPr>
            <w:r>
              <w:t xml:space="preserve">no</w:t>
            </w:r>
          </w:p>
        </w:tc>
      </w:tr>
    </w:tbl>
    <w:p>
      <w:pPr/>
      <w:r>
        <w:t/>
      </w:r>
    </w:p>
    <w:p>
      <w:pPr>
        <w:spacing w:after="140"/>
      </w:pPr>
      <w:r>
        <w:rPr>
          <w:b/>
        </w:rPr>
        <w:t xml:space="preserve">Global consistency: PASS</w:t>
      </w:r>
    </w:p>
    <w:p>
      <w:pPr>
        <w:pBdr>
          <w:bottom w:val="single" w:sz="6" w:space="1" w:color="AAAAAA"/>
        </w:pBdr>
      </w:pPr>
    </w:p>
    <w:p>
      <w:pPr>
        <w:pStyle w:val="Heading2"/>
        <w:spacing w:after="140"/>
      </w:pPr>
      <w:r>
        <w:t xml:space="preserve">4.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Check</w:t>
            </w:r>
          </w:p>
        </w:tc>
        <w:tc>
          <w:tcPr>
            <w:tcW w:w="3120" w:type="dxa"/>
          </w:tcPr>
          <w:p>
            <w:pPr>
              <w:spacing w:after="0"/>
            </w:pPr>
            <w:r>
              <w:t xml:space="preserve">v8</w:t>
            </w:r>
          </w:p>
        </w:tc>
        <w:tc>
          <w:tcPr>
            <w:tcW w:w="3120" w:type="dxa"/>
          </w:tcPr>
          <w:p>
            <w:pPr>
              <w:spacing w:after="0"/>
            </w:pPr>
            <w:r>
              <w:t xml:space="preserve">v9</w:t>
            </w:r>
          </w:p>
        </w:tc>
      </w:tr>
      <w:tr>
        <w:tc>
          <w:tcPr>
            <w:tcW w:w="3120" w:type="dxa"/>
          </w:tcPr>
          <w:p>
            <w:pPr>
              <w:spacing w:after="0"/>
            </w:pPr>
            <w:r>
              <w:t xml:space="preserve">Headings</w:t>
            </w:r>
          </w:p>
        </w:tc>
        <w:tc>
          <w:tcPr>
            <w:tcW w:w="3120" w:type="dxa"/>
          </w:tcPr>
          <w:p>
            <w:pPr>
              <w:spacing w:after="0"/>
            </w:pPr>
            <w:r>
              <w:t xml:space="preserve">45</w:t>
            </w:r>
          </w:p>
        </w:tc>
        <w:tc>
          <w:tcPr>
            <w:tcW w:w="3120" w:type="dxa"/>
          </w:tcPr>
          <w:p>
            <w:pPr>
              <w:spacing w:after="0"/>
            </w:pPr>
            <w:r>
              <w:t xml:space="preserve">45</w:t>
            </w:r>
          </w:p>
        </w:tc>
      </w:tr>
      <w:tr>
        <w:tc>
          <w:tcPr>
            <w:tcW w:w="3120" w:type="dxa"/>
          </w:tcPr>
          <w:p>
            <w:pPr>
              <w:spacing w:after="0"/>
            </w:pPr>
            <w:r>
              <w:t xml:space="preserve">Table rows</w:t>
            </w:r>
          </w:p>
        </w:tc>
        <w:tc>
          <w:tcPr>
            <w:tcW w:w="3120" w:type="dxa"/>
          </w:tcPr>
          <w:p>
            <w:pPr>
              <w:spacing w:after="0"/>
            </w:pPr>
            <w:r>
              <w:t xml:space="preserve">91</w:t>
            </w:r>
          </w:p>
        </w:tc>
        <w:tc>
          <w:tcPr>
            <w:tcW w:w="3120" w:type="dxa"/>
          </w:tcPr>
          <w:p>
            <w:pPr>
              <w:spacing w:after="0"/>
            </w:pPr>
            <w:r>
              <w:t xml:space="preserve">91</w:t>
            </w:r>
          </w:p>
        </w:tc>
      </w:tr>
      <w:tr>
        <w:tc>
          <w:tcPr>
            <w:tcW w:w="3120" w:type="dxa"/>
          </w:tcPr>
          <w:p>
            <w:pPr>
              <w:spacing w:after="0"/>
            </w:pPr>
            <w:r>
              <w:t xml:space="preserve">Paragraphs over 120 characters</w:t>
            </w:r>
          </w:p>
        </w:tc>
        <w:tc>
          <w:tcPr>
            <w:tcW w:w="3120" w:type="dxa"/>
          </w:tcPr>
          <w:p>
            <w:pPr>
              <w:spacing w:after="0"/>
            </w:pPr>
            <w:r>
              <w:t xml:space="preserve">181</w:t>
            </w:r>
          </w:p>
        </w:tc>
        <w:tc>
          <w:tcPr>
            <w:tcW w:w="3120" w:type="dxa"/>
          </w:tcPr>
          <w:p>
            <w:pPr>
              <w:spacing w:after="0"/>
            </w:pPr>
            <w:r>
              <w:t xml:space="preserve">181</w:t>
            </w:r>
          </w:p>
        </w:tc>
      </w:tr>
      <w:tr>
        <w:tc>
          <w:tcPr>
            <w:tcW w:w="3120" w:type="dxa"/>
          </w:tcPr>
          <w:p>
            <w:pPr>
              <w:spacing w:after="0"/>
            </w:pPr>
            <w:r>
              <w:t xml:space="preserve">Duplicate paragraphs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Em-dashes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Words</w:t>
            </w:r>
          </w:p>
        </w:tc>
        <w:tc>
          <w:tcPr>
            <w:tcW w:w="3120" w:type="dxa"/>
          </w:tcPr>
          <w:p>
            <w:pPr>
              <w:spacing w:after="0"/>
            </w:pPr>
            <w:r>
              <w:t xml:space="preserve">11660</w:t>
            </w:r>
          </w:p>
        </w:tc>
        <w:tc>
          <w:tcPr>
            <w:tcW w:w="3120" w:type="dxa"/>
          </w:tcPr>
          <w:p>
            <w:pPr>
              <w:spacing w:after="0"/>
            </w:pPr>
            <w:r>
              <w:t xml:space="preserve">11719</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v8</w:t>
            </w:r>
          </w:p>
        </w:tc>
      </w:tr>
      <w:tr>
        <w:tc>
          <w:tcPr>
            <w:tcW w:w="4680" w:type="dxa"/>
          </w:tcPr>
          <w:p>
            <w:pPr>
              <w:spacing w:after="0"/>
            </w:pPr>
            <w:r>
              <w:t xml:space="preserve">Sections 1 through 8</w:t>
            </w:r>
          </w:p>
        </w:tc>
        <w:tc>
          <w:tcPr>
            <w:tcW w:w="4680" w:type="dxa"/>
          </w:tcPr>
          <w:p>
            <w:pPr>
              <w:spacing w:after="0"/>
            </w:pPr>
            <w:r>
              <w:t xml:space="preserve">yes, byte-identical</w:t>
            </w:r>
          </w:p>
        </w:tc>
      </w:tr>
      <w:tr>
        <w:tc>
          <w:tcPr>
            <w:tcW w:w="4680" w:type="dxa"/>
          </w:tcPr>
          <w:p>
            <w:pPr>
              <w:spacing w:after="0"/>
            </w:pPr>
            <w:r>
              <w:t xml:space="preserve">References and citations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Acknowledgments</w:t>
            </w:r>
          </w:p>
        </w:tc>
        <w:tc>
          <w:tcPr>
            <w:tcW w:w="4680" w:type="dxa"/>
          </w:tcPr>
          <w:p>
            <w:pPr>
              <w:spacing w:after="0"/>
            </w:pPr>
            <w:r>
              <w:t xml:space="preserve">changed by Edit 1 only</w:t>
            </w:r>
          </w:p>
        </w:tc>
      </w:tr>
    </w:tbl>
    <w:p>
      <w:pPr/>
      <w:r>
        <w:t/>
      </w:r>
    </w:p>
    <w:p>
      <w:pPr>
        <w:spacing w:after="140"/>
      </w:pPr>
      <w:r>
        <w:t xml:space="preserve">v8 was not overwritten. The source is plain Markdown and the </w:t>
      </w:r>
      <w:r>
        <w:rPr>
          <w:rFonts w:ascii="Consolas" w:hAnsi="Consolas"/>
        </w:rPr>
        <w:t xml:space="preserve">.docx</w:t>
      </w:r>
      <w:r>
        <w:t xml:space="preserve"> is generated from it, so no tracked change and no comment can be introduced.</w:t>
      </w:r>
    </w:p>
    <w:p>
      <w:pPr>
        <w:spacing w:after="140"/>
      </w:pPr>
      <w:r>
        <w:rPr>
          <w:b/>
        </w:rPr>
        <w:t xml:space="preserve">Document integrity: PASS</w:t>
      </w:r>
    </w:p>
    <w:p>
      <w:pPr>
        <w:spacing w:after="140"/>
      </w:pPr>
      <w:r>
        <w:t xml:space="preserve">"v9 reconciliation completed. No primary study result, preregistered threshold, corpus composition, study design, or substantive methodological finding was changed. The trained-reviewer AC1 remains 0.623 with analytic interval 0.253 to 0.994 and bootstrap interval 0.301 to 0.886."</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