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The Evidentiary Deficit in AI-Assisted Record-Keeping</w:t>
      </w:r>
    </w:p>
    <w:p>
      <w:pPr>
        <w:spacing w:after="140"/>
      </w:pPr>
      <w:r>
        <w:rPr>
          <w:i/>
        </w:rPr>
        <w:t xml:space="preserve">By Hekim Colpan and Phillip Wikes</w:t>
      </w:r>
    </w:p>
    <w:p>
      <w:pPr>
        <w:spacing w:after="140"/>
      </w:pPr>
      <w:r>
        <w:rPr>
          <w:i/>
        </w:rPr>
        <w:t xml:space="preserve">Both authors contributed equally. Names appear in alphabetical order. Hekim Colpan contributes in a personal professional capacity; the views expressed are his own and do not represent the position of any employer or institution. Phillip Wikes developed the Justification Review Standard described in Section IX.</w:t>
      </w:r>
    </w:p>
    <w:p>
      <w:pPr>
        <w:pBdr>
          <w:bottom w:val="single" w:sz="6" w:space="1" w:color="AAAAAA"/>
        </w:pBdr>
      </w:pPr>
    </w:p>
    <w:p>
      <w:pPr>
        <w:pStyle w:val="Heading2"/>
        <w:spacing w:after="140"/>
      </w:pPr>
      <w:r>
        <w:t xml:space="preserve">I. Introduction</w:t>
      </w:r>
    </w:p>
    <w:p>
      <w:pPr>
        <w:spacing w:after="140"/>
      </w:pPr>
      <w:r>
        <w:t xml:space="preserve">A record is a kind of promise. It tells whoever reads it later, whether a regulator, a court, or the person whose life it describes, that a decision was made for reasons someone can go back and examine. When an AI tool drafts the record, that promise is easy to break quietly. The text reads as finished. The reasoning behind it may already be gone.</w:t>
      </w:r>
    </w:p>
    <w:p>
      <w:pPr>
        <w:spacing w:after="140"/>
      </w:pPr>
      <w:r>
        <w:t xml:space="preserve">We call that gap Decision Reconstruction Risk: the state a record is in when it can no longer show, on its own, why a consequential decision was made. Once the reasoning cannot be rebuilt from the file, accountability moves onto memory, onto opinion, onto whoever is trusted in the room.</w:t>
      </w:r>
    </w:p>
    <w:p>
      <w:pPr>
        <w:spacing w:after="140"/>
      </w:pPr>
      <w:r>
        <w:t xml:space="preserve">We come at this from two directions. One of us works inside European AI governance and compliance. The other spent more than a decade at a United States civil rights agency reading consequential records after the fact, and kept finding a decision that was probably sound sitting on a record that could not prove it. In Europe, the GDPR's accountability principle and the EU AI Act's record-keeping expectations ask an organization to show how a decision was reached rather than assert it. In the United States, the same demand arrives through discovery and through the burden-shifting frameworks that structure employment and housing cases. The vocabulary differs. What is being asked for does not.</w:t>
      </w:r>
    </w:p>
    <w:p>
      <w:pPr>
        <w:pStyle w:val="Heading2"/>
        <w:spacing w:after="140"/>
      </w:pPr>
      <w:r>
        <w:t xml:space="preserve">II. Documentation as Evidence</w:t>
      </w:r>
    </w:p>
    <w:p>
      <w:pPr>
        <w:spacing w:after="140"/>
      </w:pPr>
      <w:r>
        <w:t xml:space="preserve">In employment, housing, and administrative matters, the written record is usually the first thing a dispute is tested against. Performance evaluations, tenancy files, and investigative notes are read under statutes such as Title VII (https://www.eeoc.gov/statutes/title-vii-civil-rights-act-1964), the Age Discrimination in Employment Act, the Americans with Disabilities Act, and the Fair Housing Act (https://www.justice.gov/crt/fair-housing-act-1).</w:t>
      </w:r>
    </w:p>
    <w:p>
      <w:pPr>
        <w:spacing w:after="140"/>
      </w:pPr>
      <w:r>
        <w:t xml:space="preserve">McDonnell Douglas Corp. v. Green (https://supreme.justia.com/cases/federal/us/411/792/) illustrates why this matters operationally. The decision sets out a burden-shifting framework in which an employer articulates a legitimate, non-discriminatory reason and the plaintiff may then seek to show it is pretextual. The Court did not hold that documentation quality determines the outcome. In practice, though, whether a stated reason is corroborated by contemporaneous records, and whether the reasons given have stayed consistent, is often what the pretext inquiry turns on.</w:t>
      </w:r>
    </w:p>
    <w:p>
      <w:pPr>
        <w:spacing w:after="140"/>
      </w:pPr>
      <w:r>
        <w:t xml:space="preserve">A comparable dynamic appears in judicial review of federal agency action, where a reviewing court generally evaluates the reasons the agency itself articulated, on the administrative record (https://www.law.cornell.edu/uscode/text/5/706) before it. What is not in the record is difficult to rely on later.</w:t>
      </w:r>
    </w:p>
    <w:p>
      <w:pPr>
        <w:spacing w:after="140"/>
      </w:pPr>
      <w:r>
        <w:t xml:space="preserve">A record that will hold up has to do more than announce a conclusion. It has to show the facts the conclusion rests on. A well-supported record tends to survive internal review, complaint investigation, regulatory examination, and discovery, and it lets the affected person understand how the decision about them was reached. A thin one can fail all of them, even when the decision underneath it was correct.</w:t>
      </w:r>
    </w:p>
    <w:p>
      <w:pPr>
        <w:pStyle w:val="Heading2"/>
        <w:spacing w:after="140"/>
      </w:pPr>
      <w:r>
        <w:t xml:space="preserve">III. How AI-Assisted Records Fail</w:t>
      </w:r>
    </w:p>
    <w:p>
      <w:pPr>
        <w:spacing w:after="140"/>
      </w:pPr>
      <w:r>
        <w:t xml:space="preserve">AI tools write fluent narrative and often lose the thread back to the facts. Conclusions arrive with confident framing on top of fragmentary inputs. The finished text can no longer be traced to the logs, notes, or messages that would ground it. The drafting history, the reviewer, and the prompts are usually not kept.</w:t>
      </w:r>
    </w:p>
    <w:p>
      <w:pPr>
        <w:spacing w:after="140"/>
      </w:pPr>
      <w:r>
        <w:t xml:space="preserve">The problem compounds when one tool writes both the narrative and the justification for it. Consider a manager who asks a model to draft a termination memorandum, then asks the same model to supply the supporting facts. The resulting file is perfectly consistent with itself and tied to nothing outside itself. In litigation, that can read as reasoning assembled after the decision, particularly where the drafting sequence shows the narrative came last.</w:t>
      </w:r>
    </w:p>
    <w:p>
      <w:pPr>
        <w:spacing w:after="140"/>
      </w:pPr>
      <w:r>
        <w:t xml:space="preserve">The underlying rule is simple. Every material claim in a consequential record should trace back to evidence that existed at the time.</w:t>
      </w:r>
    </w:p>
    <w:p>
      <w:pPr>
        <w:pStyle w:val="Heading2"/>
        <w:spacing w:after="140"/>
      </w:pPr>
      <w:r>
        <w:t xml:space="preserve">IV. Pattern and Proxy Risk</w:t>
      </w:r>
    </w:p>
    <w:p>
      <w:pPr>
        <w:spacing w:after="140"/>
      </w:pPr>
      <w:r>
        <w:t xml:space="preserve">AI reproduces language at scale. When subjective descriptors such as "cultural fit," "struggles with change," or "attitude" recur across individuals who share a protected characteristic, what looked like one author's stylistic habit becomes something an adverse inference can be built on. Uniformity that once took years of individual writing to accumulate can now appear across a single quarter of AI-assisted drafting.</w:t>
      </w:r>
    </w:p>
    <w:p>
      <w:pPr>
        <w:spacing w:after="140"/>
      </w:pPr>
      <w:r>
        <w:t xml:space="preserve">Because the pattern appears only in aggregate, it can pass every file-by-file review and surface only when records are read side by side. Depending on the facts and the legal theory pleaded, recurring language may become relevant evidence in an internal audit, a regulatory investigation, or litigation. Disparate treatment and disparate impact are distinct theories with different elements and proof structures, and recurring language does not by itself establish either. It is the aggregate visibility that makes it worth monitoring.</w:t>
      </w:r>
    </w:p>
    <w:p>
      <w:pPr>
        <w:pStyle w:val="Heading2"/>
        <w:spacing w:after="140"/>
      </w:pPr>
      <w:r>
        <w:t xml:space="preserve">V. European Governance Context</w:t>
      </w:r>
    </w:p>
    <w:p>
      <w:pPr>
        <w:spacing w:after="140"/>
      </w:pPr>
      <w:r>
        <w:t xml:space="preserve">In Europe, the governance problem begins the moment AI-assisted drafting severs the evidentiary link between a consequential record and the information, human judgment, and controls that produced it. Under the GDPR, the accountability principle in Article 5(2) (https://eur-lex.europa.eu/eli/reg/2016/679/oj) requires controllers not only to comply with the data-protection principles but to be able to demonstrate that compliance when scrutinised. Article 30's record of processing activities is one part of that accountability framework, but a modest one: it does not require every prompt or draft to be retained, nor does it become a decision log simply because a model was involved upstream. What matters is more disciplined than either extreme: proportionate controls capable of showing how the processing was governed and, where the risk warrants it, assessed.</w:t>
      </w:r>
    </w:p>
    <w:p>
      <w:pPr>
        <w:spacing w:after="140"/>
      </w:pPr>
      <w:r>
        <w:t xml:space="preserve">The timing of the EU AI Act (https://eur-lex.europa.eu/eli/reg/2024/1689/oj) makes that distinction more than academic. The Regulation now generally applies, while its core high-risk requirements on risk management, data governance, technical documentation, logging, and human oversight have been postponed by Regulation (EU) 2026/1744: Annex III high-risk systems from 2 December 2027, and high-risk systems linked to regulated products under Annex I from 2 August 2028. Organisations are therefore deploying AI-assisted workflows today while some of the Act's strongest statutory traceability controls remain pending. Many such workflows will not fall within the high-risk regime at all. The practical governance question is broader than formal classification: has enough reliable evidence been preserved to reconstruct what the AI contributed, what a human verified, and why the final record was accepted?</w:t>
      </w:r>
    </w:p>
    <w:p>
      <w:pPr>
        <w:spacing w:after="140"/>
      </w:pPr>
      <w:r>
        <w:t xml:space="preserve">ISO/IEC 42001 (https://www.iso.org/standard/81230.html) can support structured governance across that gap through defined responsibilities, risk management, and monitoring. In financial services, DORA (https://eur-lex.europa.eu/eli/reg/2022/2554/oj) adds a documented ICT-risk and governance framework where applicable. Neither establishes any particular record-level control. The objective is not indiscriminate retention but something more surgical: preserve the right evidence, under the right controls, for the right period, so that a consequential record can still account for itself when someone asks it to.</w:t>
      </w:r>
    </w:p>
    <w:p>
      <w:pPr>
        <w:pStyle w:val="Heading2"/>
        <w:spacing w:after="140"/>
      </w:pPr>
      <w:r>
        <w:t xml:space="preserve">VI. Oversight and Reconstruction</w:t>
      </w:r>
    </w:p>
    <w:p>
      <w:pPr>
        <w:spacing w:after="140"/>
      </w:pPr>
      <w:r>
        <w:t xml:space="preserve">A record worth trusting should answer three questions on its own face. Can someone understand it without the author standing next to them explaining it? Do its conclusions rest on evidence that a human, not a model, can verify? Could a neutral reviewer rebuild the reasoning without being told how it went?</w:t>
      </w:r>
    </w:p>
    <w:p>
      <w:pPr>
        <w:spacing w:after="140"/>
      </w:pPr>
      <w:r>
        <w:t xml:space="preserve">If the answer to any of these is no, the record is incomplete, however well it reads. That is Decision Reconstruction Risk made concrete, and it carries forward into every proceeding that later relies on the record.</w:t>
      </w:r>
    </w:p>
    <w:p>
      <w:pPr>
        <w:pStyle w:val="Heading2"/>
        <w:spacing w:after="140"/>
      </w:pPr>
      <w:r>
        <w:t xml:space="preserve">VII. Litigation and Regulatory Exposure</w:t>
      </w:r>
    </w:p>
    <w:p>
      <w:pPr>
        <w:spacing w:after="140"/>
      </w:pPr>
      <w:r>
        <w:t xml:space="preserve">Opposing counsel tends to make two moves: that the fluent AI narrative was written to dress up a decision already made, and that missing drafting history and reviewer notes indicate there was no real deliberation. Both land harder when the organization cannot produce the underlying material.</w:t>
      </w:r>
    </w:p>
    <w:p>
      <w:pPr>
        <w:spacing w:after="140"/>
      </w:pPr>
      <w:r>
        <w:t xml:space="preserve">Depending on the dispute, preservation obligations and discovery requests may extend to materials showing how an AI-assisted record was created, reviewed, modified, and finalized, including prompt logs, draft versions, tool-usage records, and reviewer activity. Potential discoverability is not the same as an obligation to retain everything, and the two should not be conflated in policy. Regulators approach it from an adjacent angle: uniform language across files can suggest a process running without individualized judgment, and gaps in processing documentation can raise their own questions.</w:t>
      </w:r>
    </w:p>
    <w:p>
      <w:pPr>
        <w:spacing w:after="140"/>
      </w:pPr>
      <w:r>
        <w:t xml:space="preserve">When an institution cannot explain its own decisions to the people they affect, it loses some of the accountability and public confidence it depends on to function.</w:t>
      </w:r>
    </w:p>
    <w:p>
      <w:pPr>
        <w:pStyle w:val="Heading2"/>
        <w:spacing w:after="140"/>
      </w:pPr>
      <w:r>
        <w:t xml:space="preserve">VIII. Practitioner Controls</w:t>
      </w:r>
    </w:p>
    <w:p>
      <w:pPr>
        <w:spacing w:after="140"/>
      </w:pPr>
      <w:r>
        <w:t xml:space="preserve">The organizing principle is to preserve what is necessary to reconstruct and defend a consequential record, not to retain everything indefinitely.</w:t>
      </w:r>
    </w:p>
    <w:p>
      <w:pPr>
        <w:numPr>
          <w:ilvl w:val="0"/>
          <w:numId w:val="2"/>
        </w:numPr>
        <w:spacing w:after="60"/>
      </w:pPr>
      <w:r>
        <w:t xml:space="preserve">Identify the human author and any AI tools used in drafting.</w:t>
      </w:r>
    </w:p>
    <w:p>
      <w:pPr>
        <w:numPr>
          <w:ilvl w:val="0"/>
          <w:numId w:val="2"/>
        </w:numPr>
        <w:spacing w:after="60"/>
      </w:pPr>
      <w:r>
        <w:t xml:space="preserve">Preserve the underlying source materials, including notes, logs, and communications, on which conclusions rest.</w:t>
      </w:r>
    </w:p>
    <w:p>
      <w:pPr>
        <w:numPr>
          <w:ilvl w:val="0"/>
          <w:numId w:val="2"/>
        </w:numPr>
        <w:spacing w:after="60"/>
      </w:pPr>
      <w:r>
        <w:t xml:space="preserve">Link conclusions to verifiable evidence that was not itself AI-generated.</w:t>
      </w:r>
    </w:p>
    <w:p>
      <w:pPr>
        <w:numPr>
          <w:ilvl w:val="0"/>
          <w:numId w:val="2"/>
        </w:numPr>
        <w:spacing w:after="60"/>
      </w:pPr>
      <w:r>
        <w:t xml:space="preserve">Document the human review step, including reviewer identity, date, and substantive changes.</w:t>
      </w:r>
    </w:p>
    <w:p>
      <w:pPr>
        <w:numPr>
          <w:ilvl w:val="0"/>
          <w:numId w:val="2"/>
        </w:numPr>
        <w:spacing w:after="60"/>
      </w:pPr>
      <w:r>
        <w:t xml:space="preserve">Restrict the use of unapproved external AI tools for official records.</w:t>
      </w:r>
    </w:p>
    <w:p>
      <w:pPr>
        <w:numPr>
          <w:ilvl w:val="0"/>
          <w:numId w:val="2"/>
        </w:numPr>
        <w:spacing w:after="60"/>
      </w:pPr>
      <w:r>
        <w:t xml:space="preserve">Reflect AI-assisted processing in applicable data-processing inventories, including GDPR Article 30 where it applies.</w:t>
      </w:r>
    </w:p>
    <w:p>
      <w:pPr>
        <w:numPr>
          <w:ilvl w:val="0"/>
          <w:numId w:val="2"/>
        </w:numPr>
        <w:spacing w:after="60"/>
      </w:pPr>
      <w:r>
        <w:t xml:space="preserve">Define, in advance, what drafting-layer material is preserved for consequential records, for how long, and under what legal-hold triggers.</w:t>
      </w:r>
    </w:p>
    <w:p>
      <w:pPr>
        <w:numPr>
          <w:ilvl w:val="0"/>
          <w:numId w:val="2"/>
        </w:numPr>
        <w:spacing w:after="60"/>
      </w:pPr>
      <w:r>
        <w:t xml:space="preserve">Audit periodically for repeated subjective language across authors and business units.</w:t>
      </w:r>
    </w:p>
    <w:p>
      <w:pPr>
        <w:numPr>
          <w:ilvl w:val="0"/>
          <w:numId w:val="2"/>
        </w:numPr>
        <w:spacing w:after="60"/>
      </w:pPr>
      <w:r>
        <w:t xml:space="preserve">Confirm consistency between the record and prior documented history.</w:t>
      </w:r>
    </w:p>
    <w:p>
      <w:pPr>
        <w:pStyle w:val="Heading2"/>
        <w:spacing w:after="140"/>
      </w:pPr>
      <w:r>
        <w:t xml:space="preserve">IX. JRS as an Operational Example</w:t>
      </w:r>
    </w:p>
    <w:p>
      <w:pPr>
        <w:spacing w:after="140"/>
      </w:pPr>
      <w:r>
        <w:t xml:space="preserve">One way to operationalize this is a structured review applied before a consequential record is finalized. The Justification Review Standard, developed by one of the authors, runs inside existing HR, compliance, investigations, audit, and legal workflows and asks whether an AI-assisted record will hold up when someone examines it independently. Five checks work through the answer: whether the conclusion can be rebuilt from the record alone; whether its basis is identifiable; whether the chronology holds together; whether a reviewer can trace how the conclusion was reached; and whether the evidence behind it is sufficient. It is currently undergoing structured validation using blinded reviewers, a predefined reference corpus, and prespecified evaluation criteria, and detailed results will be reported separately.</w:t>
      </w:r>
    </w:p>
    <w:p>
      <w:pPr>
        <w:spacing w:after="140"/>
      </w:pPr>
      <w:r>
        <w:t xml:space="preserve">The specific instrument matters less than the discipline. Any review that forces those five questions before a record is finalized addresses the same failure.</w:t>
      </w:r>
    </w:p>
    <w:p>
      <w:pPr>
        <w:pStyle w:val="Heading2"/>
        <w:spacing w:after="140"/>
      </w:pPr>
      <w:r>
        <w:t xml:space="preserve">X. Conclusion</w:t>
      </w:r>
    </w:p>
    <w:p>
      <w:pPr>
        <w:spacing w:after="140"/>
      </w:pPr>
      <w:r>
        <w:t xml:space="preserve">The risk lives wherever the trail back to the evidence has gone cold. An organization that treats every consequential record as something a court, a regulator, or the person it describes may one day read closely will be in a better position than one that does not.</w:t>
      </w:r>
    </w:p>
    <w:p>
      <w:pPr>
        <w:spacing w:after="140"/>
      </w:pPr>
      <w:r>
        <w:t xml:space="preserve">Underneath it sits one idea that belongs to no single jurisdiction. When AI helps produce a consequential decision, the person on the receiving end should be able to understand why, and the organization should be able to reconstruct and defend it from the record itself. We use the shorthand "right to know why" for that governance principle. It is not a legal doctrine and not a claim of any new entitlement, but a short name for something already running through discovery practice, evidentiary sufficiency, the GDPR's accountability principle, and the EU AI Act's record-keeping expectations.</w:t>
      </w:r>
    </w:p>
    <w:p>
      <w:pPr>
        <w:spacing w:after="140"/>
      </w:pPr>
      <w:r>
        <w:t xml:space="preserve">What has changed is the tool doing the drafting. What has not changed is the standard the record still has to meet.</w:t>
      </w:r>
    </w:p>
    <w:p>
      <w:pPr>
        <w:pBdr>
          <w:bottom w:val="single" w:sz="6" w:space="1" w:color="AAAAAA"/>
        </w:pBdr>
      </w:pPr>
    </w:p>
    <w:p>
      <w:pPr>
        <w:spacing w:after="140"/>
      </w:pPr>
      <w:r>
        <w:rPr>
          <w:b/>
        </w:rPr>
        <w:t xml:space="preserve">Hekim Colpan</w:t>
      </w:r>
      <w:r>
        <w:t xml:space="preserve"> is an AI Governance and Compliance Manager, Data Protection Manager, and ISO/IEC 42001 auditor based in Germany. His work focuses on the operational implementation of AI management systems, the EU AI Act, GDPR accountability, DORA, and governance controls for AI-assisted systems.</w:t>
      </w:r>
    </w:p>
    <w:p>
      <w:pPr>
        <w:spacing w:after="140"/>
      </w:pPr>
      <w:r>
        <w:rPr>
          <w:b/>
        </w:rPr>
        <w:t xml:space="preserve">Phillip Wikes</w:t>
      </w:r>
      <w:r>
        <w:t xml:space="preserve"> is an AI Governance and Cognitive Risk Advisor focused on documentation integrity, evidentiary traceability, and record-level controls in AI-assisted environments. He served as a Lead Civil Rights Officer at the Maryland Commission on Civil Rights, evaluating discrimination complaints under federal HUD and EEOC frameworks. He developed the Justification Review Standard and named Decision Reconstruction Risk, and holds an M.S. in Negotiation and Conflict Management.</w:t>
      </w:r>
    </w:p>
    <w:p>
      <w:pPr>
        <w:spacing w:after="140"/>
      </w:pPr>
      <w:r>
        <w:rPr>
          <w:i/>
        </w:rPr>
        <w:t xml:space="preserve">The validation methodology referenced in Section IX, including the reference-panel design, the choice of agreement coefficient, and the acceptance thresholds, was designed by Ubayet Hossain, FRM, Associate Director (Model Validation), KPMG India.</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