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CCI resubmission, change log for co-author approval</w:t>
      </w:r>
    </w:p>
    <w:p>
      <w:pPr>
        <w:spacing w:after="140"/>
      </w:pPr>
      <w:r>
        <w:rPr>
          <w:b/>
        </w:rPr>
        <w:t xml:space="preserve">Article:</w:t>
      </w:r>
      <w:r>
        <w:t xml:space="preserve"> When AI-Drafted Employment Records Become Evidence </w:t>
      </w:r>
      <w:r>
        <w:rPr>
          <w:b/>
        </w:rPr>
        <w:t xml:space="preserve">Authors:</w:t>
      </w:r>
      <w:r>
        <w:t xml:space="preserve"> Hekim Colpan and Phillip Wikes </w:t>
      </w:r>
      <w:r>
        <w:rPr>
          <w:b/>
        </w:rPr>
        <w:t xml:space="preserve">File:</w:t>
      </w:r>
      <w:r>
        <w:t xml:space="preserve"> </w:t>
      </w:r>
      <w:r>
        <w:rPr>
          <w:rFonts w:ascii="Consolas" w:hAnsi="Consolas"/>
        </w:rPr>
        <w:t xml:space="preserve">research/Evidentiary_Deficit_CCI_RESUBMISSION_2026-08-28_REV2.md</w:t>
      </w:r>
      <w:r>
        <w:t xml:space="preserve">, 1,511 words </w:t>
      </w:r>
      <w:r>
        <w:rPr>
          <w:b/>
        </w:rPr>
        <w:t xml:space="preserve">Prepared:</w:t>
      </w:r>
      <w:r>
        <w:t xml:space="preserve"> 2026-08-28</w:t>
      </w:r>
    </w:p>
    <w:p>
      <w:pPr>
        <w:pBdr>
          <w:bottom w:val="single" w:sz="6" w:space="1" w:color="AAAAAA"/>
        </w:pBdr>
      </w:pPr>
    </w:p>
    <w:p>
      <w:pPr>
        <w:pStyle w:val="Heading2"/>
        <w:spacing w:after="140"/>
      </w:pPr>
      <w:r>
        <w:t xml:space="preserve">Why the article changed</w:t>
      </w:r>
    </w:p>
    <w:p>
      <w:pPr>
        <w:spacing w:after="140"/>
      </w:pPr>
      <w:r>
        <w:t xml:space="preserve">Jennifer Gaskin at Corporate Compliance Insights did not reject the submission. She wrote that there is </w:t>
      </w:r>
      <w:r>
        <w:rPr>
          <w:i/>
        </w:rPr>
        <w:t xml:space="preserve">"a lot here we like"</w:t>
      </w:r>
      <w:r>
        <w:t xml:space="preserve"> and that </w:t>
      </w:r>
      <w:r>
        <w:rPr>
          <w:i/>
        </w:rPr>
        <w:t xml:space="preserve">"if the piece focused on that, we'd be happy to consider a revision."</w:t>
      </w:r>
    </w:p>
    <w:p>
      <w:pPr>
        <w:spacing w:after="140"/>
      </w:pPr>
      <w:r>
        <w:t xml:space="preserve">She named four topics CCI has already published in the past two months, and asked for one frame instead.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CCI says already covered</w:t>
            </w:r>
          </w:p>
        </w:tc>
        <w:tc>
          <w:tcPr>
            <w:tcW w:w="3120" w:type="dxa"/>
          </w:tcPr>
          <w:p>
            <w:pPr>
              <w:spacing w:after="0"/>
            </w:pPr>
            <w:r>
              <w:t xml:space="preserve">Where it stood</w:t>
            </w:r>
          </w:p>
        </w:tc>
        <w:tc>
          <w:tcPr>
            <w:tcW w:w="3120" w:type="dxa"/>
          </w:tcPr>
          <w:p>
            <w:pPr>
              <w:spacing w:after="0"/>
            </w:pPr>
            <w:r>
              <w:t xml:space="preserve">Where it stands now</w:t>
            </w:r>
          </w:p>
        </w:tc>
      </w:tr>
      <w:tr>
        <w:tc>
          <w:tcPr>
            <w:tcW w:w="3120" w:type="dxa"/>
          </w:tcPr>
          <w:p>
            <w:pPr>
              <w:spacing w:after="0"/>
            </w:pPr>
            <w:r>
              <w:t xml:space="preserve">AI-generated records</w:t>
            </w:r>
          </w:p>
        </w:tc>
        <w:tc>
          <w:tcPr>
            <w:tcW w:w="3120" w:type="dxa"/>
          </w:tcPr>
          <w:p>
            <w:pPr>
              <w:spacing w:after="0"/>
            </w:pPr>
            <w:r>
              <w:t xml:space="preserve">present</w:t>
            </w:r>
          </w:p>
        </w:tc>
        <w:tc>
          <w:tcPr>
            <w:tcW w:w="3120" w:type="dxa"/>
          </w:tcPr>
          <w:p>
            <w:pPr>
              <w:spacing w:after="0"/>
            </w:pPr>
            <w:r>
              <w:t xml:space="preserve">reframed as employment records</w:t>
            </w:r>
          </w:p>
        </w:tc>
      </w:tr>
      <w:tr>
        <w:tc>
          <w:tcPr>
            <w:tcW w:w="3120" w:type="dxa"/>
          </w:tcPr>
          <w:p>
            <w:pPr>
              <w:spacing w:after="0"/>
            </w:pPr>
            <w:r>
              <w:t xml:space="preserve">What a file says versus what it can prove</w:t>
            </w:r>
          </w:p>
        </w:tc>
        <w:tc>
          <w:tcPr>
            <w:tcW w:w="3120" w:type="dxa"/>
          </w:tcPr>
          <w:p>
            <w:pPr>
              <w:spacing w:after="0"/>
            </w:pPr>
            <w:r>
              <w:t xml:space="preserve">present</w:t>
            </w:r>
          </w:p>
        </w:tc>
        <w:tc>
          <w:tcPr>
            <w:tcW w:w="3120" w:type="dxa"/>
          </w:tcPr>
          <w:p>
            <w:pPr>
              <w:spacing w:after="0"/>
            </w:pPr>
            <w:r>
              <w:t xml:space="preserve">reframed as pretext evidence</w:t>
            </w:r>
          </w:p>
        </w:tc>
      </w:tr>
      <w:tr>
        <w:tc>
          <w:tcPr>
            <w:tcW w:w="3120" w:type="dxa"/>
          </w:tcPr>
          <w:p>
            <w:pPr>
              <w:spacing w:after="0"/>
            </w:pPr>
            <w:r>
              <w:rPr>
                <w:b/>
              </w:rPr>
              <w:t xml:space="preserve">ISO 42001/NIST as scaffolding, not safe harbour</w:t>
            </w:r>
          </w:p>
        </w:tc>
        <w:tc>
          <w:tcPr>
            <w:tcW w:w="3120" w:type="dxa"/>
          </w:tcPr>
          <w:p>
            <w:pPr>
              <w:spacing w:after="0"/>
            </w:pPr>
            <w:r>
              <w:t xml:space="preserve">ISO/IEC 42001 and DORA in the European section</w:t>
            </w:r>
          </w:p>
        </w:tc>
        <w:tc>
          <w:tcPr>
            <w:tcW w:w="3120" w:type="dxa"/>
          </w:tcPr>
          <w:p>
            <w:pPr>
              <w:spacing w:after="0"/>
            </w:pPr>
            <w:r>
              <w:rPr>
                <w:b/>
              </w:rPr>
              <w:t xml:space="preserve">removed from the body; ISO/IEC 42001 remains only in Hekim's author biography</w:t>
            </w:r>
          </w:p>
        </w:tc>
      </w:tr>
      <w:tr>
        <w:tc>
          <w:tcPr>
            <w:tcW w:w="3120" w:type="dxa"/>
          </w:tcPr>
          <w:p>
            <w:pPr>
              <w:spacing w:after="0"/>
            </w:pPr>
            <w:r>
              <w:t xml:space="preserve">Mobley v. Workday</w:t>
            </w:r>
          </w:p>
        </w:tc>
        <w:tc>
          <w:tcPr>
            <w:tcW w:w="3120" w:type="dxa"/>
          </w:tcPr>
          <w:p>
            <w:pPr>
              <w:spacing w:after="0"/>
            </w:pPr>
            <w:r>
              <w:t xml:space="preserve">not present</w:t>
            </w:r>
          </w:p>
        </w:tc>
        <w:tc>
          <w:tcPr>
            <w:tcW w:w="3120" w:type="dxa"/>
          </w:tcPr>
          <w:p>
            <w:pPr>
              <w:spacing w:after="0"/>
            </w:pPr>
            <w:r>
              <w:t xml:space="preserve">not present</w:t>
            </w:r>
          </w:p>
        </w:tc>
      </w:tr>
    </w:tbl>
    <w:p>
      <w:pPr/>
      <w:r>
        <w:t/>
      </w:r>
    </w:p>
    <w:p>
      <w:pPr>
        <w:spacing w:after="140"/>
      </w:pPr>
      <w:r>
        <w:t xml:space="preserve">Her requested frame, verbatim: </w:t>
      </w:r>
      <w:r>
        <w:rPr>
          <w:i/>
        </w:rPr>
        <w:t xml:space="preserve">"the employment-discrimination frame you're working in, pretext, burden-shifting and what happens when AI-drafted records get read side by side across a workforce."</w:t>
      </w:r>
    </w:p>
    <w:p>
      <w:pPr>
        <w:pBdr>
          <w:bottom w:val="single" w:sz="6" w:space="1" w:color="AAAAAA"/>
        </w:pBdr>
      </w:pPr>
    </w:p>
    <w:p>
      <w:pPr>
        <w:pStyle w:val="Heading2"/>
        <w:spacing w:after="140"/>
      </w:pPr>
      <w:r>
        <w:t xml:space="preserve">HEKIM: THIS IS WHAT CHANGED IN YOUR SECTION, AND IT NEEDS YOUR APPROVAL</w:t>
      </w:r>
    </w:p>
    <w:p>
      <w:pPr>
        <w:spacing w:after="140"/>
      </w:pPr>
      <w:r>
        <w:t xml:space="preserve">Your European material was </w:t>
      </w:r>
      <w:r>
        <w:rPr>
          <w:b/>
        </w:rPr>
        <w:t xml:space="preserve">312 words</w:t>
      </w:r>
      <w:r>
        <w:t xml:space="preserve"> in the previous draft and is </w:t>
      </w:r>
      <w:r>
        <w:rPr>
          <w:b/>
        </w:rPr>
        <w:t xml:space="preserve">174 words</w:t>
      </w:r>
      <w:r>
        <w:t xml:space="preserve"> now, retitled </w:t>
      </w:r>
      <w:r>
        <w:rPr>
          <w:i/>
        </w:rPr>
        <w:t xml:space="preserve">"A note for organizations operating in Europe"</w:t>
      </w:r>
      <w:r>
        <w:t xml:space="preserve"> and moved after the practical control so the employment argument runs uninterrupted.</w:t>
      </w:r>
    </w:p>
    <w:p>
      <w:pPr>
        <w:spacing w:after="140"/>
      </w:pPr>
      <w:r>
        <w:rPr>
          <w:b/>
        </w:rPr>
        <w:t xml:space="preserve">Every date and instrument citation you supplied is retained:</w:t>
      </w:r>
    </w:p>
    <w:p>
      <w:pPr>
        <w:numPr>
          <w:ilvl w:val="0"/>
          <w:numId w:val="1"/>
        </w:numPr>
        <w:spacing w:after="60"/>
      </w:pPr>
      <w:r>
        <w:t xml:space="preserve">GDPR Article 5(2), accountability and the duty to demonstrate compliance</w:t>
      </w:r>
    </w:p>
    <w:p>
      <w:pPr>
        <w:numPr>
          <w:ilvl w:val="0"/>
          <w:numId w:val="1"/>
        </w:numPr>
        <w:spacing w:after="60"/>
      </w:pPr>
      <w:r>
        <w:t xml:space="preserve">Regulation (EU) 2026/1744</w:t>
      </w:r>
    </w:p>
    <w:p>
      <w:pPr>
        <w:numPr>
          <w:ilvl w:val="0"/>
          <w:numId w:val="1"/>
        </w:numPr>
        <w:spacing w:after="60"/>
      </w:pPr>
      <w:r>
        <w:t xml:space="preserve">Annex III high-risk systems from 2 December 2027</w:t>
      </w:r>
    </w:p>
    <w:p>
      <w:pPr>
        <w:numPr>
          <w:ilvl w:val="0"/>
          <w:numId w:val="1"/>
        </w:numPr>
        <w:spacing w:after="60"/>
      </w:pPr>
      <w:r>
        <w:t xml:space="preserve">Annex I high-risk systems linked to regulated products from 2 August 2028</w:t>
      </w:r>
    </w:p>
    <w:p>
      <w:pPr>
        <w:numPr>
          <w:ilvl w:val="0"/>
          <w:numId w:val="1"/>
        </w:numPr>
        <w:spacing w:after="60"/>
      </w:pPr>
      <w:r>
        <w:t xml:space="preserve">The point that many workflows will not fall within the high-risk regime at all</w:t>
      </w:r>
    </w:p>
    <w:p>
      <w:pPr>
        <w:spacing w:after="140"/>
      </w:pPr>
      <w:r>
        <w:rPr>
          <w:b/>
        </w:rPr>
        <w:t xml:space="preserve">Three citations were dropped, and each is your call:</w:t>
      </w:r>
    </w:p>
    <w:p>
      <w:pPr>
        <w:numPr>
          <w:ilvl w:val="0"/>
          <w:numId w:val="3"/>
        </w:numPr>
        <w:spacing w:after="60"/>
      </w:pPr>
      <w:r>
        <w:rPr>
          <w:b/>
        </w:rPr>
        <w:t xml:space="preserve">GDPR Article 30</w:t>
      </w:r>
      <w:r>
        <w:t xml:space="preserve">, the record of processing activities. Dropped for length. Your point that it is </w:t>
      </w:r>
      <w:r>
        <w:rPr>
          <w:i/>
        </w:rPr>
        <w:t xml:space="preserve">"a modest part"</w:t>
      </w:r>
      <w:r>
        <w:t xml:space="preserve"> of the accountability framework and </w:t>
      </w:r>
      <w:r>
        <w:rPr>
          <w:i/>
        </w:rPr>
        <w:t xml:space="preserve">"does not become a decision log simply because a model was involved upstream"</w:t>
      </w:r>
      <w:r>
        <w:t xml:space="preserve"> is a good one, and it can be restored if you want it.</w:t>
      </w:r>
    </w:p>
    <w:p>
      <w:pPr>
        <w:numPr>
          <w:ilvl w:val="0"/>
          <w:numId w:val="3"/>
        </w:numPr>
        <w:spacing w:after="60"/>
      </w:pPr>
      <w:r>
        <w:rPr>
          <w:b/>
        </w:rPr>
        <w:t xml:space="preserve">ISO/IEC 42001.</w:t>
      </w:r>
      <w:r>
        <w:t xml:space="preserve"> Dropped from the body because the editor named it specifically as material CCI has already covered. It remains in your author biography, where it identifies your credential rather than making an argument.</w:t>
      </w:r>
    </w:p>
    <w:p>
      <w:pPr>
        <w:numPr>
          <w:ilvl w:val="0"/>
          <w:numId w:val="3"/>
        </w:numPr>
        <w:spacing w:after="60"/>
      </w:pPr>
      <w:r>
        <w:rPr>
          <w:b/>
        </w:rPr>
        <w:t xml:space="preserve">DORA.</w:t>
      </w:r>
      <w:r>
        <w:t xml:space="preserve"> Dropped for length and because financial-services ICT risk is a step away from an employment-records piece.</w:t>
      </w:r>
    </w:p>
    <w:p>
      <w:pPr>
        <w:spacing w:after="140"/>
      </w:pPr>
      <w:r>
        <w:rPr>
          <w:b/>
        </w:rPr>
        <w:t xml:space="preserve">Two sentences in the previous draft were not yours and are gone:</w:t>
      </w:r>
    </w:p>
    <w:p>
      <w:pPr>
        <w:numPr>
          <w:ilvl w:val="0"/>
          <w:numId w:val="1"/>
        </w:numPr>
        <w:spacing w:after="60"/>
      </w:pPr>
      <w:r>
        <w:rPr>
          <w:i/>
        </w:rPr>
        <w:t xml:space="preserve">"Many of those workflows will not fall within the high-risk regime at all."</w:t>
      </w:r>
      <w:r>
        <w:t xml:space="preserve"> — kept, because it is accurate and useful.</w:t>
      </w:r>
    </w:p>
    <w:p>
      <w:pPr>
        <w:numPr>
          <w:ilvl w:val="0"/>
          <w:numId w:val="1"/>
        </w:numPr>
        <w:spacing w:after="60"/>
      </w:pPr>
      <w:r>
        <w:rPr>
          <w:i/>
        </w:rPr>
        <w:t xml:space="preserve">"Neither establishes any particular record-level control."</w:t>
      </w:r>
      <w:r>
        <w:t xml:space="preserve"> — </w:t>
      </w:r>
      <w:r>
        <w:rPr>
          <w:b/>
        </w:rPr>
        <w:t xml:space="preserve">removed.</w:t>
      </w:r>
      <w:r>
        <w:t xml:space="preserve"> It was added to your section in the previous draft without your sight of it, and it makes an assertion about what ISO/IEC 42001 and DORA do not do, under the byline of a certified ISO/IEC 42001 auditor. That is your statement to make or decline, not one to be written for you.</w:t>
      </w:r>
    </w:p>
    <w:p>
      <w:pPr>
        <w:spacing w:after="140"/>
      </w:pPr>
      <w:r>
        <w:rPr>
          <w:b/>
        </w:rPr>
        <w:t xml:space="preserve">Measured:</w:t>
      </w:r>
      <w:r>
        <w:t xml:space="preserve"> similarity to your original Section V is 0.184, which reflects compression rather than disagreement. Nothing you wrote has been contradicted; material has been cut and the remainder tightened.</w:t>
      </w:r>
    </w:p>
    <w:p>
      <w:pPr>
        <w:spacing w:after="140"/>
      </w:pPr>
      <w:r>
        <w:rPr>
          <w:b/>
        </w:rPr>
        <w:t xml:space="preserve">If you want any of the three dropped citations back, say which and they go back in.</w:t>
      </w:r>
    </w:p>
    <w:p>
      <w:pPr>
        <w:pBdr>
          <w:bottom w:val="single" w:sz="6" w:space="1" w:color="AAAAAA"/>
        </w:pBdr>
      </w:pPr>
    </w:p>
    <w:p>
      <w:pPr>
        <w:pStyle w:val="Heading2"/>
        <w:spacing w:after="140"/>
      </w:pPr>
      <w:r>
        <w:t xml:space="preserve">What else changed</w:t>
      </w:r>
    </w:p>
    <w:p>
      <w:pPr>
        <w:spacing w:after="140"/>
      </w:pPr>
      <w:r>
        <w:rPr>
          <w:b/>
        </w:rPr>
        <w:t xml:space="preserve">Structural</w:t>
      </w:r>
    </w:p>
    <w:p>
      <w:pPr>
        <w:numPr>
          <w:ilvl w:val="0"/>
          <w:numId w:val="1"/>
        </w:numPr>
        <w:spacing w:after="60"/>
      </w:pPr>
      <w:r>
        <w:t xml:space="preserve">The European material moved from the middle of the piece to after the pre-finalization control, so pretext, side-by-side review and the defensible-record standard run consecutively.</w:t>
      </w:r>
    </w:p>
    <w:p>
      <w:pPr>
        <w:numPr>
          <w:ilvl w:val="0"/>
          <w:numId w:val="1"/>
        </w:numPr>
        <w:spacing w:after="60"/>
      </w:pPr>
      <w:r>
        <w:t xml:space="preserve">Employment core is now </w:t>
      </w:r>
      <w:r>
        <w:rPr>
          <w:b/>
        </w:rPr>
        <w:t xml:space="preserve">686 words, 45.4 percent</w:t>
      </w:r>
      <w:r>
        <w:t xml:space="preserve"> of the piece, against </w:t>
      </w:r>
      <w:r>
        <w:rPr>
          <w:b/>
        </w:rPr>
        <w:t xml:space="preserve">174 words, 11.5 percent</w:t>
      </w:r>
      <w:r>
        <w:t xml:space="preserve"> for the European note. In the previous draft the European section was the single largest block at 20.9 percent.</w:t>
      </w:r>
    </w:p>
    <w:p>
      <w:pPr>
        <w:spacing w:after="140"/>
      </w:pPr>
      <w:r>
        <w:rPr>
          <w:b/>
        </w:rPr>
        <w:t xml:space="preserve">Substantive additions to the employment argument</w:t>
      </w:r>
    </w:p>
    <w:p>
      <w:pPr>
        <w:numPr>
          <w:ilvl w:val="0"/>
          <w:numId w:val="1"/>
        </w:numPr>
        <w:spacing w:after="60"/>
      </w:pPr>
      <w:r>
        <w:t xml:space="preserve">A new opening to the side-by-side section explaining the mechanism: a drafting tool prompted on prior records reproduces the same characterizations, and a reviewer approving one record at a time has no vantage point from which to notice.</w:t>
      </w:r>
    </w:p>
    <w:p>
      <w:pPr>
        <w:numPr>
          <w:ilvl w:val="0"/>
          <w:numId w:val="1"/>
        </w:numPr>
        <w:spacing w:after="60"/>
      </w:pPr>
      <w:r>
        <w:t xml:space="preserve">In the pretext section: </w:t>
      </w:r>
      <w:r>
        <w:rPr>
          <w:i/>
        </w:rPr>
        <w:t xml:space="preserve">"An employer in that position can articulate its reason. What it may not be able to do is show the reason was the one it actually applied."</w:t>
      </w:r>
    </w:p>
    <w:p>
      <w:pPr>
        <w:numPr>
          <w:ilvl w:val="0"/>
          <w:numId w:val="1"/>
        </w:numPr>
        <w:spacing w:after="60"/>
      </w:pPr>
      <w:r>
        <w:t xml:space="preserve">The control now says explicitly to look across records, not only at each one.</w:t>
      </w:r>
    </w:p>
    <w:p>
      <w:pPr>
        <w:spacing w:after="140"/>
      </w:pPr>
      <w:r>
        <w:rPr>
          <w:b/>
        </w:rPr>
        <w:t xml:space="preserve">Defects corrected from the previous draft</w:t>
      </w:r>
    </w:p>
    <w:p>
      <w:pPr>
        <w:numPr>
          <w:ilvl w:val="0"/>
          <w:numId w:val="4"/>
        </w:numPr>
        <w:spacing w:after="60"/>
      </w:pPr>
      <w:r>
        <w:t xml:space="preserve">A dangling repeated citation: </w:t>
      </w:r>
      <w:r>
        <w:rPr>
          <w:i/>
        </w:rPr>
        <w:t xml:space="preserve">"...is pretextual. McDonnell Douglas Corp. v. Green"</w:t>
      </w:r>
      <w:r>
        <w:t xml:space="preserve">.</w:t>
      </w:r>
    </w:p>
    <w:p>
      <w:pPr>
        <w:numPr>
          <w:ilvl w:val="0"/>
          <w:numId w:val="4"/>
        </w:numPr>
        <w:spacing w:after="60"/>
      </w:pPr>
      <w:r>
        <w:t xml:space="preserve">Two collapsed sentence spaces: </w:t>
      </w:r>
      <w:r>
        <w:rPr>
          <w:i/>
        </w:rPr>
        <w:t xml:space="preserve">"assessed.The timing"</w:t>
      </w:r>
      <w:r>
        <w:t xml:space="preserve"> and </w:t>
      </w:r>
      <w:r>
        <w:rPr>
          <w:i/>
        </w:rPr>
        <w:t xml:space="preserve">"accepted?ISO/IEC"</w:t>
      </w:r>
      <w:r>
        <w:t xml:space="preserve">.</w:t>
      </w:r>
    </w:p>
    <w:p>
      <w:pPr>
        <w:numPr>
          <w:ilvl w:val="0"/>
          <w:numId w:val="4"/>
        </w:numPr>
        <w:spacing w:after="60"/>
      </w:pPr>
      <w:r>
        <w:t xml:space="preserve">A stray </w:t>
      </w:r>
      <w:r>
        <w:rPr>
          <w:i/>
        </w:rPr>
        <w:t xml:space="preserve">"GDPR"</w:t>
      </w:r>
      <w:r>
        <w:t xml:space="preserve"> token at the end of the European section.</w:t>
      </w:r>
    </w:p>
    <w:p>
      <w:pPr>
        <w:numPr>
          <w:ilvl w:val="0"/>
          <w:numId w:val="4"/>
        </w:numPr>
        <w:spacing w:after="60"/>
      </w:pPr>
      <w:r>
        <w:t xml:space="preserve">A stray </w:t>
      </w:r>
      <w:r>
        <w:rPr>
          <w:i/>
        </w:rPr>
        <w:t xml:space="preserve">"GDPR"</w:t>
      </w:r>
      <w:r>
        <w:t xml:space="preserve"> token at the end of Hekim's author biography.</w:t>
      </w:r>
    </w:p>
    <w:p>
      <w:pPr>
        <w:numPr>
          <w:ilvl w:val="0"/>
          <w:numId w:val="4"/>
        </w:numPr>
        <w:spacing w:after="60"/>
      </w:pPr>
      <w:r>
        <w:t xml:space="preserve">The seven-point control list ran together in a single paragraph as </w:t>
      </w:r>
      <w:r>
        <w:rPr>
          <w:i/>
        </w:rPr>
        <w:t xml:space="preserve">"1. Identify...2. Preserve...3. Link..."</w:t>
      </w:r>
      <w:r>
        <w:t xml:space="preserve"> and is now a real numbered list.</w:t>
      </w:r>
    </w:p>
    <w:p>
      <w:pPr>
        <w:numPr>
          <w:ilvl w:val="0"/>
          <w:numId w:val="4"/>
        </w:numPr>
        <w:spacing w:after="60"/>
      </w:pPr>
      <w:r>
        <w:t xml:space="preserve">The four reviewer questions were four separate paragraphs and are now a list.</w:t>
      </w:r>
    </w:p>
    <w:p>
      <w:pPr>
        <w:numPr>
          <w:ilvl w:val="0"/>
          <w:numId w:val="4"/>
        </w:numPr>
        <w:spacing w:after="60"/>
      </w:pPr>
      <w:r>
        <w:t xml:space="preserve">The Before and After examples were unformatted and are now labelled.</w:t>
      </w:r>
    </w:p>
    <w:p>
      <w:pPr>
        <w:pBdr>
          <w:bottom w:val="single" w:sz="6" w:space="1" w:color="AAAAAA"/>
        </w:pBdr>
      </w:pPr>
    </w:p>
    <w:p>
      <w:pPr>
        <w:pStyle w:val="Heading2"/>
        <w:spacing w:after="140"/>
      </w:pPr>
      <w:r>
        <w:t xml:space="preserve">What was deliberately not changed</w:t>
      </w:r>
    </w:p>
    <w:p>
      <w:pPr>
        <w:numPr>
          <w:ilvl w:val="0"/>
          <w:numId w:val="1"/>
        </w:numPr>
        <w:spacing w:after="60"/>
      </w:pPr>
      <w:r>
        <w:t xml:space="preserve">The title, the byline order, and the equal-contribution statement.</w:t>
      </w:r>
    </w:p>
    <w:p>
      <w:pPr>
        <w:numPr>
          <w:ilvl w:val="0"/>
          <w:numId w:val="1"/>
        </w:numPr>
        <w:spacing w:after="60"/>
      </w:pPr>
      <w:r>
        <w:t xml:space="preserve">Hekim's personal-capacity disclosure.</w:t>
      </w:r>
    </w:p>
    <w:p>
      <w:pPr>
        <w:numPr>
          <w:ilvl w:val="0"/>
          <w:numId w:val="1"/>
        </w:numPr>
        <w:spacing w:after="60"/>
      </w:pPr>
      <w:r>
        <w:t xml:space="preserve">The JRS framing: </w:t>
      </w:r>
      <w:r>
        <w:rPr>
          <w:i/>
        </w:rPr>
        <w:t xml:space="preserve">"undergoing structured validation"</w:t>
      </w:r>
      <w:r>
        <w:t xml:space="preserve">, never a completed or validated claim.</w:t>
      </w:r>
    </w:p>
    <w:p>
      <w:pPr>
        <w:numPr>
          <w:ilvl w:val="0"/>
          <w:numId w:val="1"/>
        </w:numPr>
        <w:spacing w:after="60"/>
      </w:pPr>
      <w:r>
        <w:t xml:space="preserve">The </w:t>
      </w:r>
      <w:r>
        <w:rPr>
          <w:i/>
        </w:rPr>
        <w:t xml:space="preserve">"right to know why"</w:t>
      </w:r>
      <w:r>
        <w:t xml:space="preserve"> disclaimer that it is not a legal doctrine and not a claim of any new entitlement.</w:t>
      </w:r>
    </w:p>
    <w:p>
      <w:pPr>
        <w:numPr>
          <w:ilvl w:val="0"/>
          <w:numId w:val="1"/>
        </w:numPr>
        <w:spacing w:after="60"/>
      </w:pPr>
      <w:r>
        <w:t xml:space="preserve">The statement that recurring language establishes neither disparate treatment nor disparate impact by itself.</w:t>
      </w:r>
    </w:p>
    <w:p>
      <w:pPr>
        <w:pBdr>
          <w:bottom w:val="single" w:sz="6" w:space="1" w:color="AAAAAA"/>
        </w:pBdr>
      </w:pPr>
    </w:p>
    <w:p>
      <w:pPr>
        <w:pStyle w:val="Heading2"/>
        <w:spacing w:after="140"/>
      </w:pPr>
      <w:r>
        <w:t xml:space="preserve">Verification</w:t>
      </w:r>
    </w:p>
    <w:p>
      <w:pPr>
        <w:spacing w:after="140"/>
      </w:pPr>
      <w:r>
        <w:rPr>
          <w:rFonts w:ascii="Consolas" w:hAnsi="Consolas"/>
        </w:rPr>
        <w:t xml:space="preserve">scripts/audit_cci_revision.py</w:t>
      </w:r>
      <w:r>
        <w:t xml:space="preserve"> checks the piece against the editor's brief and reports </w:t>
      </w:r>
      <w:r>
        <w:rPr>
          <w:b/>
        </w:rPr>
        <w:t xml:space="preserve">0 problems</w:t>
      </w:r>
      <w:r>
        <w:t xml:space="preserve">: all nine required elements present, all three overlap caps met, zero banned terms, zero formatting defects, and the European note smaller than the employment core.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