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A Documentation Quality Read for Public-Records Determinations: Convergent, Construct, and Discriminant Evidence from 32 Public Cases</w:t>
      </w:r>
    </w:p>
    <w:p>
      <w:pPr>
        <w:spacing w:after="140"/>
      </w:pPr>
      <w:r>
        <w:rPr>
          <w:b/>
        </w:rPr>
        <w:t xml:space="preserve">Stacyann Young</w:t>
      </w:r>
      <w:r>
        <w:t xml:space="preserve"> Independent Researcher</w:t>
      </w:r>
    </w:p>
    <w:p>
      <w:pPr>
        <w:spacing w:after="140"/>
      </w:pPr>
      <w:r>
        <w:rPr>
          <w:b/>
        </w:rPr>
        <w:t xml:space="preserve">Phillip Wikes</w:t>
      </w:r>
      <w:r>
        <w:t xml:space="preserve"> Creator of the Justification Review Standard; former Lead Civil Rights Officer, Maryland Commission on Civil Rights</w:t>
      </w:r>
    </w:p>
    <w:p>
      <w:pPr>
        <w:spacing w:after="140"/>
      </w:pPr>
      <w:r>
        <w:rPr>
          <w:b/>
        </w:rPr>
        <w:t xml:space="preserve">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pPr>
        <w:spacing w:after="140"/>
      </w:pPr>
      <w:r>
        <w:rPr>
          <w:b/>
        </w:rPr>
        <w:t xml:space="preserve">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pBdr>
          <w:bottom w:val="single" w:sz="6" w:space="1" w:color="AAAAAA"/>
        </w:pBdr>
      </w:pPr>
    </w:p>
    <w:p>
      <w:pPr>
        <w:pStyle w:val="Heading2"/>
        <w:spacing w:after="140"/>
      </w:pPr>
      <w:r>
        <w:t xml:space="preserve">Abstract</w:t>
      </w:r>
    </w:p>
    <w:p>
      <w:pPr>
        <w:spacing w:after="140"/>
      </w:pPr>
      <w:r>
        <w:t xml:space="preserve">Public-records determinations are reviewed constantly: on administrative appeal, before open-government bodies, in litigation, and in compliance audits. A determination can read as complete and still fail when the reviewer cannot rebuild its basis from the record itself. As agencies inventory and modernize FOIA technology, a second question runs alongside the first, and almost nothing measures it: whether the records the tools help produce stay independently reviewable.</w:t>
      </w:r>
    </w:p>
    <w:p>
      <w:pPr>
        <w:spacing w:after="140"/>
      </w:pPr>
      <w:r>
        <w:t xml:space="preserve">We tested a structured, record-level documentation read on 32 real public-records cases drawn from four document classes and two states, collected between 26 June and 8 August 2026. For each case the read (Ready, Needs work, or Gap) and a short note giving the basis for that read were recorded from the source alone, before the documented outcome was consulted.</w:t>
      </w:r>
    </w:p>
    <w:p>
      <w:pPr>
        <w:spacing w:after="140"/>
      </w:pPr>
      <w:r>
        <w:t xml:space="preserve">Three findings, none of them about who won.</w:t>
      </w:r>
    </w:p>
    <w:p>
      <w:pPr>
        <w:spacing w:after="140"/>
      </w:pPr>
      <w:r>
        <w:t xml:space="preserve">The read agreed with independent government auditors in every case where both instruments were available. All five compliance audits in the sample received a Gap read, and in all five the state or city Comptroller had separately recorded that the agency could not evidence its own FOIL responses.</w:t>
      </w:r>
    </w:p>
    <w:p>
      <w:pPr>
        <w:spacing w:after="140"/>
      </w:pPr>
      <w:r>
        <w:t xml:space="preserve">The read tracked reconstructability rather than outcome. Of the 7 Needs work cases carrying a contemporaneous note, 6 state that the underlying record-level basis could not be rebuilt from the source, against none of the 17 noted Ready cases, and eleven of those 17 Ready notes state the opposite outright (Fisher's exact, two-sided, p = 0.0000520). Three case-level sources carry no note and are excluded from that coding rather than assigned one.</w:t>
      </w:r>
    </w:p>
    <w:p>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programme-level audits, five of five, against none of twenty-seven case-level sources (p = 0.0000050).</w:t>
      </w:r>
    </w:p>
    <w:p>
      <w:pPr>
        <w:spacing w:after="140"/>
      </w:pPr>
      <w:r>
        <w:t xml:space="preserve">A fourth analysis, testing the read against whether the agency prevailed on appeal, is null (p = 1.000). Given the first three findings that is the expected relationship: reconstructability and appellate disposition measure different things, and published decisions are selected for contested legal questions rather than for thin files. Applied by a different reviewer in an employment-law corpus that is not filtered by publication, the same instrument does show the association (6 of 8 records read as Needs work or Gap drew an adverse finding against 2 of 12 read as Ready, p = 0.0194), which is consistent with that boundary condition rather than with a weak instrument.</w:t>
      </w:r>
    </w:p>
    <w:p>
      <w:pPr>
        <w:spacing w:after="140"/>
      </w:pPr>
      <w:r>
        <w:t xml:space="preserve">A blind second read of 10 of the 32 cases by an independent reviewer agreed with the original on 7, 70.0 percent, Cohen's kappa 0.474 unweighted and 0.559 linear weighted, Gwet's AC1 0.582. All 3 disagreements were between adjacent categories. Reader dependence is therefore estimated on a subset rather than removed.</w:t>
      </w:r>
    </w:p>
    <w:p>
      <w:pPr>
        <w:spacing w:after="140"/>
      </w:pPr>
      <w:r>
        <w:t xml:space="preserve">The pilot contributes a working protocol for measuring documentation quality in a public-records programme, a completed and citable 32-case set, and preliminary evidence that the read responds to the reconstructability property it is designed to assess.</w:t>
      </w:r>
    </w:p>
    <w:p>
      <w:pPr>
        <w:spacing w:after="140"/>
      </w:pPr>
      <w:r>
        <w:t xml:space="preserve">The blind second read, its per-case answers and every coefficient reported in Section 5.7 are held in </w:t>
      </w:r>
      <w:r>
        <w:rPr>
          <w:rFonts w:ascii="Consolas" w:hAnsi="Consolas"/>
        </w:rPr>
        <w:t xml:space="preserve">Blind_Recheck_RESULT_2026-08-28.json</w:t>
      </w:r>
      <w:r>
        <w:t xml:space="preserve">, computed from the reviewer's recorded answers and the original reads by a standard-library script with no external dependency.</w:t>
      </w:r>
    </w:p>
    <w:p>
      <w:pPr>
        <w:spacing w:after="140"/>
      </w:pPr>
      <w:r>
        <w:rPr>
          <w:b/>
        </w:rPr>
        <w:t xml:space="preserve">Keywords:</w:t>
      </w:r>
      <w:r>
        <w:t xml:space="preserve"> FOIA; FOIL; public records; documentation quality; decision defensibility; records governance; administrative review; convergent validity.</w:t>
      </w:r>
    </w:p>
    <w:p>
      <w:pPr>
        <w:pBdr>
          <w:bottom w:val="single" w:sz="6" w:space="1" w:color="AAAAAA"/>
        </w:pBdr>
      </w:pPr>
    </w:p>
    <w:p>
      <w:pPr>
        <w:pStyle w:val="Heading2"/>
        <w:spacing w:after="140"/>
      </w:pPr>
      <w:r>
        <w:t xml:space="preserve">1. Introduction</w:t>
      </w:r>
    </w:p>
    <w:p>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programme. None of them re-interview the officer's memory. They read the record.</w:t>
      </w:r>
    </w:p>
    <w:p>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actually did when someone asks.</w:t>
      </w:r>
    </w:p>
    <w:p>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unreconstructable determinations does not, by itself, establish that the resulting records are defensible.</w:t>
      </w:r>
    </w:p>
    <w:p>
      <w:pPr>
        <w:spacing w:after="140"/>
      </w:pPr>
      <w:r>
        <w:t xml:space="preserve">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pPr>
        <w:pStyle w:val="Heading2"/>
        <w:spacing w:after="140"/>
      </w:pPr>
      <w:r>
        <w:t xml:space="preserve">2. Research questions</w:t>
      </w:r>
    </w:p>
    <w:p>
      <w:pPr>
        <w:numPr>
          <w:ilvl w:val="0"/>
          <w:numId w:val="3"/>
        </w:numPr>
        <w:spacing w:after="60"/>
      </w:pPr>
      <w:r>
        <w:t xml:space="preserve">Can the review conditions be applied to real public-records material across document classes and jurisdictions, and do they produce a full range of reads?</w:t>
      </w:r>
    </w:p>
    <w:p>
      <w:pPr>
        <w:numPr>
          <w:ilvl w:val="0"/>
          <w:numId w:val="3"/>
        </w:numPr>
        <w:spacing w:after="60"/>
      </w:pPr>
      <w:r>
        <w:t xml:space="preserve">Where an independent government auditor has assessed the sufficiency of the same records, does the read agree?</w:t>
      </w:r>
    </w:p>
    <w:p>
      <w:pPr>
        <w:numPr>
          <w:ilvl w:val="0"/>
          <w:numId w:val="3"/>
        </w:numPr>
        <w:spacing w:after="60"/>
      </w:pPr>
      <w:r>
        <w:t xml:space="preserve">What drives the read, and is it the property the instrument claims to measure?</w:t>
      </w:r>
    </w:p>
    <w:p>
      <w:pPr>
        <w:pStyle w:val="Heading2"/>
        <w:spacing w:after="140"/>
      </w:pPr>
      <w:r>
        <w:t xml:space="preserve">3. The instrument</w:t>
      </w:r>
    </w:p>
    <w:p>
      <w:pPr>
        <w:spacing w:after="140"/>
      </w:pPr>
      <w:r>
        <w:t xml:space="preserve">The Justification Review Standard (JRS) asks one question of a record: can a later, independent reviewer rebuild how the conclusion was reached from the record alone?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40"/>
      </w:pPr>
      <w:r>
        <w:t xml:space="preserve">The conditions resolve to a three-level read. Ready, where a later reviewer could rebuild the conclusion from the record alone. Needs work, where the record is partly reconstructable and some basis is visible with gaps. Gap, where the basis is not visible in the record at all.</w:t>
      </w:r>
    </w:p>
    <w:p>
      <w:pPr>
        <w:spacing w:after="140"/>
      </w:pPr>
      <w:r>
        <w:t xml:space="preserve">The risk the standard names is Decision Reconstruction Risk: the condition in which a record cannot, on its own terms, let an independent reviewer rebuild the basis for a consequential decision.</w:t>
      </w:r>
    </w:p>
    <w:p>
      <w:pPr>
        <w:pStyle w:val="Heading2"/>
        <w:spacing w:after="140"/>
      </w:pPr>
      <w:r>
        <w:t xml:space="preserve">4. Methods</w:t>
      </w:r>
    </w:p>
    <w:p>
      <w:pPr>
        <w:pStyle w:val="Heading3"/>
        <w:spacing w:after="140"/>
      </w:pPr>
      <w:r>
        <w:t xml:space="preserve">4.1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pPr>
        <w:pStyle w:val="Heading3"/>
        <w:spacing w:after="140"/>
      </w:pPr>
      <w:r>
        <w:t xml:space="preserve">4.2 Materials</w:t>
      </w:r>
    </w:p>
    <w:p>
      <w:pPr>
        <w:spacing w:after="140"/>
      </w:pPr>
      <w:r>
        <w:rPr>
          <w:b/>
        </w:rPr>
        <w:t xml:space="preserve">Public material only.</w:t>
      </w:r>
      <w:r>
        <w:t xml:space="preserve"> Each case was de-identified as to any private individual, and each case carries a public citation or source URL. No internal, confidential, privileged, or otherwise nonpublic government material was used.</w:t>
      </w:r>
    </w:p>
    <w:p>
      <w:pPr>
        <w:pStyle w:val="Heading3"/>
        <w:spacing w:after="140"/>
      </w:pPr>
      <w:r>
        <w:t xml:space="preserve">4.3 Sample</w:t>
      </w:r>
    </w:p>
    <w:p>
      <w:pPr>
        <w:spacing w:after="140"/>
      </w:pPr>
      <w:r>
        <w:t xml:space="preserve">The stated target was 20 to 30 cases with a deliberate spread of outcomes. The achieved sample is 32 cases from 32 distinct public sources, collected 26 June to 8 August 2026, spanning decisions issued between 2005 and 2026 across eleven distinct years.</w:t>
      </w:r>
    </w:p>
    <w:p>
      <w:pPr>
        <w:spacing w:after="140"/>
      </w:pPr>
      <w:r>
        <w:t xml:space="preserve">Four document classes are represented: New York appellate and trial-level decisions (n = 18); New York Committee on Open Government advisory opinions (n = 7); Connecticut Freedom of Information Commission final decisions (n = 2); and compliance audits issued by the New York State Comptroller and the New York City Comptroller (n = 5).</w:t>
      </w:r>
    </w:p>
    <w:p>
      <w:pPr>
        <w:spacing w:after="140"/>
      </w:pPr>
      <w:r>
        <w:t xml:space="preserve">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pPr>
        <w:pStyle w:val="Heading3"/>
        <w:spacing w:after="140"/>
      </w:pPr>
      <w:r>
        <w:t xml:space="preserve">4.4 Outcome coding</w:t>
      </w:r>
    </w:p>
    <w:p>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traces to the public record.</w:t>
      </w:r>
    </w:p>
    <w:p>
      <w:pPr>
        <w:pStyle w:val="Heading3"/>
        <w:spacing w:after="140"/>
      </w:pPr>
      <w:r>
        <w:t xml:space="preserve">4.5 Analyses</w:t>
      </w:r>
    </w:p>
    <w:p>
      <w:pPr>
        <w:spacing w:after="140"/>
      </w:pPr>
      <w:r>
        <w:t xml:space="preserve">Five analyses, in the order reported.</w:t>
      </w:r>
    </w:p>
    <w:p>
      <w:pPr>
        <w:spacing w:after="140"/>
      </w:pPr>
      <w:r>
        <w:t xml:space="preserve">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pPr>
        <w:spacing w:after="140"/>
      </w:pPr>
      <w:r>
        <w:t xml:space="preserve">Discriminant validity tests the read against document class, using a structural variable rather than the reviewer's own words: whether the source reproduces the determination text or instead assessed the underlying records in camera or in aggregate.</w:t>
      </w:r>
    </w:p>
    <w:p>
      <w:pPr>
        <w:spacing w:after="140"/>
      </w:pPr>
      <w:r>
        <w:t xml:space="preserve">The specification check tests the read against appellate disposition. Cases where the source records no resolved disposition are excluded rather than assigned one.</w:t>
      </w:r>
    </w:p>
    <w:p>
      <w:pPr>
        <w:spacing w:after="140"/>
      </w:pPr>
      <w:r>
        <w:t xml:space="preserve">All 32 reads were recorded by a single domain reviewer, who also recorded the outcomes, so the reads are not independent of the person assigning the outcome. Section 7 treats that as a limitation.</w:t>
      </w:r>
    </w:p>
    <w:p>
      <w:pPr>
        <w:pStyle w:val="Heading3"/>
        <w:spacing w:after="140"/>
      </w:pPr>
      <w:r>
        <w:t xml:space="preserve">4.6 Blind second read</w:t>
      </w:r>
    </w:p>
    <w:p>
      <w:pPr>
        <w:spacing w:after="140"/>
      </w:pPr>
      <w:r>
        <w:t xml:space="preserve">To estimate reader dependence, 10 of the 32 cases were re-read by an independent reviewer with no connection to the study and no prior familiarity with the instrument, who recorded his own 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pPr>
        <w:pStyle w:val="Heading2"/>
        <w:spacing w:after="140"/>
      </w:pPr>
      <w:r>
        <w:t xml:space="preserve">5. Results</w:t>
      </w:r>
    </w:p>
    <w:p>
      <w:pPr>
        <w:pStyle w:val="Heading3"/>
        <w:spacing w:after="140"/>
      </w:pPr>
      <w:r>
        <w:t xml:space="preserve">5.1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Read</w:t>
            </w:r>
          </w:p>
        </w:tc>
        <w:tc>
          <w:tcPr>
            <w:tcW w:w="1560" w:type="dxa"/>
          </w:tcPr>
          <w:p>
            <w:pPr>
              <w:spacing w:after="0"/>
            </w:pPr>
            <w:r>
              <w:t xml:space="preserve">Sustained</w:t>
            </w:r>
          </w:p>
        </w:tc>
        <w:tc>
          <w:tcPr>
            <w:tcW w:w="1560" w:type="dxa"/>
          </w:tcPr>
          <w:p>
            <w:pPr>
              <w:spacing w:after="0"/>
            </w:pPr>
            <w:r>
              <w:t xml:space="preserve">Did not survive</w:t>
            </w:r>
          </w:p>
        </w:tc>
        <w:tc>
          <w:tcPr>
            <w:tcW w:w="1560" w:type="dxa"/>
          </w:tcPr>
          <w:p>
            <w:pPr>
              <w:spacing w:after="0"/>
            </w:pPr>
            <w:r>
              <w:t xml:space="preserve">Contested</w:t>
            </w:r>
          </w:p>
        </w:tc>
        <w:tc>
          <w:tcPr>
            <w:tcW w:w="1560" w:type="dxa"/>
          </w:tcPr>
          <w:p>
            <w:pPr>
              <w:spacing w:after="0"/>
            </w:pPr>
            <w:r>
              <w:t xml:space="preserve">Adverse audit</w:t>
            </w:r>
          </w:p>
        </w:tc>
        <w:tc>
          <w:tcPr>
            <w:tcW w:w="1560" w:type="dxa"/>
          </w:tcPr>
          <w:p>
            <w:pPr>
              <w:spacing w:after="0"/>
            </w:pPr>
            <w:r>
              <w:t xml:space="preserve">Total</w:t>
            </w:r>
          </w:p>
        </w:tc>
      </w:tr>
      <w:tr>
        <w:tc>
          <w:tcPr>
            <w:tcW w:w="1560" w:type="dxa"/>
          </w:tcPr>
          <w:p>
            <w:pPr>
              <w:spacing w:after="0"/>
            </w:pPr>
            <w:r>
              <w:t xml:space="preserve">Ready</w:t>
            </w:r>
          </w:p>
        </w:tc>
        <w:tc>
          <w:tcPr>
            <w:tcW w:w="1560" w:type="dxa"/>
          </w:tcPr>
          <w:p>
            <w:pPr>
              <w:spacing w:after="0"/>
            </w:pPr>
            <w:r>
              <w:t xml:space="preserve">3</w:t>
            </w:r>
          </w:p>
        </w:tc>
        <w:tc>
          <w:tcPr>
            <w:tcW w:w="1560" w:type="dxa"/>
          </w:tcPr>
          <w:p>
            <w:pPr>
              <w:spacing w:after="0"/>
            </w:pPr>
            <w:r>
              <w:t xml:space="preserve">10</w:t>
            </w:r>
          </w:p>
        </w:tc>
        <w:tc>
          <w:tcPr>
            <w:tcW w:w="1560" w:type="dxa"/>
          </w:tcPr>
          <w:p>
            <w:pPr>
              <w:spacing w:after="0"/>
            </w:pPr>
            <w:r>
              <w:t xml:space="preserve">5</w:t>
            </w:r>
          </w:p>
        </w:tc>
        <w:tc>
          <w:tcPr>
            <w:tcW w:w="1560" w:type="dxa"/>
          </w:tcPr>
          <w:p>
            <w:pPr>
              <w:spacing w:after="0"/>
            </w:pPr>
            <w:r>
              <w:t xml:space="preserve">0</w:t>
            </w:r>
          </w:p>
        </w:tc>
        <w:tc>
          <w:tcPr>
            <w:tcW w:w="1560" w:type="dxa"/>
          </w:tcPr>
          <w:p>
            <w:pPr>
              <w:spacing w:after="0"/>
            </w:pPr>
            <w:r>
              <w:t xml:space="preserve">18</w:t>
            </w:r>
          </w:p>
        </w:tc>
      </w:tr>
      <w:tr>
        <w:tc>
          <w:tcPr>
            <w:tcW w:w="1560" w:type="dxa"/>
          </w:tcPr>
          <w:p>
            <w:pPr>
              <w:spacing w:after="0"/>
            </w:pPr>
            <w:r>
              <w:t xml:space="preserve">Needs work</w:t>
            </w:r>
          </w:p>
        </w:tc>
        <w:tc>
          <w:tcPr>
            <w:tcW w:w="1560" w:type="dxa"/>
          </w:tcPr>
          <w:p>
            <w:pPr>
              <w:spacing w:after="0"/>
            </w:pPr>
            <w:r>
              <w:t xml:space="preserve">2</w:t>
            </w:r>
          </w:p>
        </w:tc>
        <w:tc>
          <w:tcPr>
            <w:tcW w:w="1560" w:type="dxa"/>
          </w:tcPr>
          <w:p>
            <w:pPr>
              <w:spacing w:after="0"/>
            </w:pPr>
            <w:r>
              <w:t xml:space="preserve">5</w:t>
            </w:r>
          </w:p>
        </w:tc>
        <w:tc>
          <w:tcPr>
            <w:tcW w:w="1560" w:type="dxa"/>
          </w:tcPr>
          <w:p>
            <w:pPr>
              <w:spacing w:after="0"/>
            </w:pPr>
            <w:r>
              <w:t xml:space="preserve">2</w:t>
            </w:r>
          </w:p>
        </w:tc>
        <w:tc>
          <w:tcPr>
            <w:tcW w:w="1560" w:type="dxa"/>
          </w:tcPr>
          <w:p>
            <w:pPr>
              <w:spacing w:after="0"/>
            </w:pPr>
            <w:r>
              <w:t xml:space="preserve">0</w:t>
            </w:r>
          </w:p>
        </w:tc>
        <w:tc>
          <w:tcPr>
            <w:tcW w:w="1560" w:type="dxa"/>
          </w:tcPr>
          <w:p>
            <w:pPr>
              <w:spacing w:after="0"/>
            </w:pPr>
            <w:r>
              <w:t xml:space="preserve">9</w:t>
            </w:r>
          </w:p>
        </w:tc>
      </w:tr>
      <w:tr>
        <w:tc>
          <w:tcPr>
            <w:tcW w:w="1560" w:type="dxa"/>
          </w:tcPr>
          <w:p>
            <w:pPr>
              <w:spacing w:after="0"/>
            </w:pPr>
            <w:r>
              <w:t xml:space="preserve">Gap</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5</w:t>
            </w:r>
          </w:p>
        </w:tc>
        <w:tc>
          <w:tcPr>
            <w:tcW w:w="1560" w:type="dxa"/>
          </w:tcPr>
          <w:p>
            <w:pPr>
              <w:spacing w:after="0"/>
            </w:pPr>
            <w:r>
              <w:t xml:space="preserve">5</w:t>
            </w:r>
          </w:p>
        </w:tc>
      </w:tr>
      <w:tr>
        <w:tc>
          <w:tcPr>
            <w:tcW w:w="1560" w:type="dxa"/>
          </w:tcPr>
          <w:p>
            <w:pPr>
              <w:spacing w:after="0"/>
            </w:pPr>
            <w:r>
              <w:rPr>
                <w:b/>
              </w:rPr>
              <w:t xml:space="preserve">Total</w:t>
            </w:r>
          </w:p>
        </w:tc>
        <w:tc>
          <w:tcPr>
            <w:tcW w:w="1560" w:type="dxa"/>
          </w:tcPr>
          <w:p>
            <w:pPr>
              <w:spacing w:after="0"/>
            </w:pPr>
            <w:r>
              <w:rPr>
                <w:b/>
              </w:rPr>
              <w:t xml:space="preserve">5</w:t>
            </w:r>
          </w:p>
        </w:tc>
        <w:tc>
          <w:tcPr>
            <w:tcW w:w="1560" w:type="dxa"/>
          </w:tcPr>
          <w:p>
            <w:pPr>
              <w:spacing w:after="0"/>
            </w:pPr>
            <w:r>
              <w:rPr>
                <w:b/>
              </w:rPr>
              <w:t xml:space="preserve">15</w:t>
            </w:r>
          </w:p>
        </w:tc>
        <w:tc>
          <w:tcPr>
            <w:tcW w:w="1560" w:type="dxa"/>
          </w:tcPr>
          <w:p>
            <w:pPr>
              <w:spacing w:after="0"/>
            </w:pPr>
            <w:r>
              <w:rPr>
                <w:b/>
              </w:rPr>
              <w:t xml:space="preserve">7</w:t>
            </w:r>
          </w:p>
        </w:tc>
        <w:tc>
          <w:tcPr>
            <w:tcW w:w="1560" w:type="dxa"/>
          </w:tcPr>
          <w:p>
            <w:pPr>
              <w:spacing w:after="0"/>
            </w:pPr>
            <w:r>
              <w:rPr>
                <w:b/>
              </w:rPr>
              <w:t xml:space="preserve">5</w:t>
            </w:r>
          </w:p>
        </w:tc>
        <w:tc>
          <w:tcPr>
            <w:tcW w:w="1560" w:type="dxa"/>
          </w:tcPr>
          <w:p>
            <w:pPr>
              <w:spacing w:after="0"/>
            </w:pPr>
            <w:r>
              <w:rPr>
                <w:b/>
              </w:rPr>
              <w:t xml:space="preserve">32</w:t>
            </w:r>
          </w:p>
        </w:tc>
      </w:tr>
    </w:tbl>
    <w:p>
      <w:pPr/>
      <w:r>
        <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supplies the applied case set the field did not previously have.</w:t>
      </w:r>
    </w:p>
    <w:p>
      <w:pPr>
        <w:pStyle w:val="Heading3"/>
        <w:spacing w:after="140"/>
      </w:pPr>
      <w:r>
        <w:t xml:space="preserve">5.2 The read agrees with independent auditors, five of five</w:t>
      </w:r>
    </w:p>
    <w:p>
      <w:pPr>
        <w:spacing w:after="140"/>
      </w:pPr>
      <w:r>
        <w:t xml:space="preserve">Five cases are compliance audits in which a state or city Comptroller had independently examined an agency's FOIL programme, using their own methodology and with no knowledge of this study.</w:t>
      </w:r>
    </w:p>
    <w:p>
      <w:pPr>
        <w:spacing w:after="140"/>
      </w:pPr>
      <w:r>
        <w:t xml:space="preserve">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w:t>
      </w:r>
    </w:p>
    <w:p>
      <w:pPr>
        <w:spacing w:after="140"/>
      </w:pPr>
      <w:r>
        <w:t xml:space="preserve">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pPr>
        <w:pStyle w:val="Heading3"/>
        <w:spacing w:after="140"/>
      </w:pPr>
      <w:r>
        <w:t xml:space="preserve">5.3 The read tracks reconstructability, not outcome</w:t>
      </w:r>
    </w:p>
    <w:p>
      <w:pPr>
        <w:spacing w:after="140"/>
      </w:pPr>
      <w:r>
        <w:t xml:space="preserve">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5.2.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Reconstructability failure stated</w:t>
            </w:r>
          </w:p>
        </w:tc>
        <w:tc>
          <w:tcPr>
            <w:tcW w:w="2340" w:type="dxa"/>
          </w:tcPr>
          <w:p>
            <w:pPr>
              <w:spacing w:after="0"/>
            </w:pPr>
            <w:r>
              <w:t xml:space="preserve">Not stated</w:t>
            </w:r>
          </w:p>
        </w:tc>
        <w:tc>
          <w:tcPr>
            <w:tcW w:w="2340" w:type="dxa"/>
          </w:tcPr>
          <w:p>
            <w:pPr>
              <w:spacing w:after="0"/>
            </w:pPr>
            <w:r>
              <w:t xml:space="preserve">Rate</w:t>
            </w:r>
          </w:p>
        </w:tc>
      </w:tr>
      <w:tr>
        <w:tc>
          <w:tcPr>
            <w:tcW w:w="2340" w:type="dxa"/>
          </w:tcPr>
          <w:p>
            <w:pPr>
              <w:spacing w:after="0"/>
            </w:pPr>
            <w:r>
              <w:t xml:space="preserve">Needs work (n = 7)</w:t>
            </w:r>
          </w:p>
        </w:tc>
        <w:tc>
          <w:tcPr>
            <w:tcW w:w="2340" w:type="dxa"/>
          </w:tcPr>
          <w:p>
            <w:pPr>
              <w:spacing w:after="0"/>
            </w:pPr>
            <w:r>
              <w:t xml:space="preserve">6</w:t>
            </w:r>
          </w:p>
        </w:tc>
        <w:tc>
          <w:tcPr>
            <w:tcW w:w="2340" w:type="dxa"/>
          </w:tcPr>
          <w:p>
            <w:pPr>
              <w:spacing w:after="0"/>
            </w:pPr>
            <w:r>
              <w:t xml:space="preserve">1</w:t>
            </w:r>
          </w:p>
        </w:tc>
        <w:tc>
          <w:tcPr>
            <w:tcW w:w="2340" w:type="dxa"/>
          </w:tcPr>
          <w:p>
            <w:pPr>
              <w:spacing w:after="0"/>
            </w:pPr>
            <w:r>
              <w:t xml:space="preserve">85.7%</w:t>
            </w:r>
          </w:p>
        </w:tc>
      </w:tr>
      <w:tr>
        <w:tc>
          <w:tcPr>
            <w:tcW w:w="2340" w:type="dxa"/>
          </w:tcPr>
          <w:p>
            <w:pPr>
              <w:spacing w:after="0"/>
            </w:pPr>
            <w:r>
              <w:t xml:space="preserve">Ready (n = 17)</w:t>
            </w:r>
          </w:p>
        </w:tc>
        <w:tc>
          <w:tcPr>
            <w:tcW w:w="2340" w:type="dxa"/>
          </w:tcPr>
          <w:p>
            <w:pPr>
              <w:spacing w:after="0"/>
            </w:pPr>
            <w:r>
              <w:t xml:space="preserve">0</w:t>
            </w:r>
          </w:p>
        </w:tc>
        <w:tc>
          <w:tcPr>
            <w:tcW w:w="2340" w:type="dxa"/>
          </w:tcPr>
          <w:p>
            <w:pPr>
              <w:spacing w:after="0"/>
            </w:pPr>
            <w:r>
              <w:t xml:space="preserve">17</w:t>
            </w:r>
          </w:p>
        </w:tc>
        <w:tc>
          <w:tcPr>
            <w:tcW w:w="2340" w:type="dxa"/>
          </w:tcPr>
          <w:p>
            <w:pPr>
              <w:spacing w:after="0"/>
            </w:pPr>
            <w:r>
              <w:t xml:space="preserve">0.0%</w:t>
            </w:r>
          </w:p>
        </w:tc>
      </w:tr>
    </w:tbl>
    <w:p>
      <w:pPr/>
      <w:r>
        <w:t/>
      </w:r>
    </w:p>
    <w:p>
      <w:pPr>
        <w:spacing w:after="140"/>
      </w:pPr>
      <w:r>
        <w:t xml:space="preserve">Fisher's exact test, two-sided: p = 0.0000520.</w:t>
      </w:r>
    </w:p>
    <w:p>
      <w:pPr>
        <w:spacing w:after="140"/>
      </w:pPr>
      <w:r>
        <w:t xml:space="preserve">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pPr>
        <w:spacing w:after="140"/>
      </w:pPr>
      <w:r>
        <w:t xml:space="preserve">No Needs work note contains an affirmative reconstructability statement, and no Ready note contains a reconstructability failure.</w:t>
      </w:r>
    </w:p>
    <w:p>
      <w:pPr>
        <w:spacing w:after="140"/>
      </w:pPr>
      <w:r>
        <w:t xml:space="preserve">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pPr>
        <w:pStyle w:val="Heading3"/>
        <w:spacing w:after="140"/>
      </w:pPr>
      <w:r>
        <w:t xml:space="preserve">5.4 The read separates document classes by how much basis they expose</w:t>
      </w:r>
    </w:p>
    <w:p>
      <w:pPr>
        <w:spacing w:after="140"/>
      </w:pPr>
      <w:r>
        <w:t xml:space="preserve">The same conclusion can be reached without relying on the reviewer's own words, using a structural feature of each source.</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summarize it. Both Connecticut decisions turned on records the Commission examined in camera.</w:t>
      </w:r>
    </w:p>
    <w:p>
      <w:pPr>
        <w:spacing w:after="140"/>
      </w:pPr>
      <w:r>
        <w:t xml:space="preserve">Grouping by that structural difference, sources that reproduce the determination text against sources that assessed the underlying records in camera or in aggregate: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w:r>
          </w:p>
        </w:tc>
        <w:tc>
          <w:tcPr>
            <w:tcW w:w="3120" w:type="dxa"/>
          </w:tcPr>
          <w:p>
            <w:pPr>
              <w:spacing w:after="0"/>
            </w:pPr>
            <w:r>
              <w:t xml:space="preserve">Ready</w:t>
            </w:r>
          </w:p>
        </w:tc>
        <w:tc>
          <w:tcPr>
            <w:tcW w:w="3120" w:type="dxa"/>
          </w:tcPr>
          <w:p>
            <w:pPr>
              <w:spacing w:after="0"/>
            </w:pPr>
            <w:r>
              <w:t xml:space="preserve">Not Ready</w:t>
            </w:r>
          </w:p>
        </w:tc>
      </w:tr>
      <w:tr>
        <w:tc>
          <w:tcPr>
            <w:tcW w:w="3120" w:type="dxa"/>
          </w:tcPr>
          <w:p>
            <w:pPr>
              <w:spacing w:after="0"/>
            </w:pPr>
            <w:r>
              <w:t xml:space="preserve">Reproduces the determination text (n = 7)</w:t>
            </w:r>
          </w:p>
        </w:tc>
        <w:tc>
          <w:tcPr>
            <w:tcW w:w="3120" w:type="dxa"/>
          </w:tcPr>
          <w:p>
            <w:pPr>
              <w:spacing w:after="0"/>
            </w:pPr>
            <w:r>
              <w:t xml:space="preserve">6</w:t>
            </w:r>
          </w:p>
        </w:tc>
        <w:tc>
          <w:tcPr>
            <w:tcW w:w="3120" w:type="dxa"/>
          </w:tcPr>
          <w:p>
            <w:pPr>
              <w:spacing w:after="0"/>
            </w:pPr>
            <w:r>
              <w:t xml:space="preserve">1</w:t>
            </w:r>
          </w:p>
        </w:tc>
      </w:tr>
      <w:tr>
        <w:tc>
          <w:tcPr>
            <w:tcW w:w="3120" w:type="dxa"/>
          </w:tcPr>
          <w:p>
            <w:pPr>
              <w:spacing w:after="0"/>
            </w:pPr>
            <w:r>
              <w:t xml:space="preserve">Assessed the records in camera or in aggregate (n = 7)</w:t>
            </w:r>
          </w:p>
        </w:tc>
        <w:tc>
          <w:tcPr>
            <w:tcW w:w="3120" w:type="dxa"/>
          </w:tcPr>
          <w:p>
            <w:pPr>
              <w:spacing w:after="0"/>
            </w:pPr>
            <w:r>
              <w:t xml:space="preserve">0</w:t>
            </w:r>
          </w:p>
        </w:tc>
        <w:tc>
          <w:tcPr>
            <w:tcW w:w="3120" w:type="dxa"/>
          </w:tcPr>
          <w:p>
            <w:pPr>
              <w:spacing w:after="0"/>
            </w:pPr>
            <w:r>
              <w:t xml:space="preserve">7</w:t>
            </w:r>
          </w:p>
        </w:tc>
      </w:tr>
    </w:tbl>
    <w:p>
      <w:pPr/>
      <w:r>
        <w:t/>
      </w:r>
    </w:p>
    <w:p>
      <w:pPr>
        <w:spacing w:after="140"/>
      </w:pPr>
      <w:r>
        <w:t xml:space="preserve">Fisher's exact test, two-sided: p = 0.00466.</w:t>
      </w:r>
    </w:p>
    <w:p>
      <w:pPr>
        <w:spacing w:after="140"/>
      </w:pPr>
      <w:r>
        <w:t xml:space="preserve">Gap reads concentrate completely. All five programme-level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pPr>
        <w:pStyle w:val="Heading3"/>
        <w:spacing w:after="140"/>
      </w:pPr>
      <w:r>
        <w:t xml:space="preserve">5.5 Appellate outcome is a different variable</w:t>
      </w:r>
    </w:p>
    <w:p>
      <w:pPr>
        <w:spacing w:after="140"/>
      </w:pPr>
      <w:r>
        <w:t xml:space="preserve">The specification check tested the read against appellate disposition, on the 20 determinations where the source records a resolved one.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Sustained</w:t>
            </w:r>
          </w:p>
        </w:tc>
        <w:tc>
          <w:tcPr>
            <w:tcW w:w="2340" w:type="dxa"/>
          </w:tcPr>
          <w:p>
            <w:pPr>
              <w:spacing w:after="0"/>
            </w:pPr>
            <w:r>
              <w:t xml:space="preserve">Did not survive</w:t>
            </w:r>
          </w:p>
        </w:tc>
        <w:tc>
          <w:tcPr>
            <w:tcW w:w="2340" w:type="dxa"/>
          </w:tcPr>
          <w:p>
            <w:pPr>
              <w:spacing w:after="0"/>
            </w:pPr>
            <w:r>
              <w:t xml:space="preserve">Sustained rate</w:t>
            </w:r>
          </w:p>
        </w:tc>
      </w:tr>
      <w:tr>
        <w:tc>
          <w:tcPr>
            <w:tcW w:w="2340" w:type="dxa"/>
          </w:tcPr>
          <w:p>
            <w:pPr>
              <w:spacing w:after="0"/>
            </w:pPr>
            <w:r>
              <w:t xml:space="preserve">Ready</w:t>
            </w:r>
          </w:p>
        </w:tc>
        <w:tc>
          <w:tcPr>
            <w:tcW w:w="2340" w:type="dxa"/>
          </w:tcPr>
          <w:p>
            <w:pPr>
              <w:spacing w:after="0"/>
            </w:pPr>
            <w:r>
              <w:t xml:space="preserve">3</w:t>
            </w:r>
          </w:p>
        </w:tc>
        <w:tc>
          <w:tcPr>
            <w:tcW w:w="2340" w:type="dxa"/>
          </w:tcPr>
          <w:p>
            <w:pPr>
              <w:spacing w:after="0"/>
            </w:pPr>
            <w:r>
              <w:t xml:space="preserve">10</w:t>
            </w:r>
          </w:p>
        </w:tc>
        <w:tc>
          <w:tcPr>
            <w:tcW w:w="2340" w:type="dxa"/>
          </w:tcPr>
          <w:p>
            <w:pPr>
              <w:spacing w:after="0"/>
            </w:pPr>
            <w:r>
              <w:t xml:space="preserve">23.1%</w:t>
            </w:r>
          </w:p>
        </w:tc>
      </w:tr>
      <w:tr>
        <w:tc>
          <w:tcPr>
            <w:tcW w:w="2340" w:type="dxa"/>
          </w:tcPr>
          <w:p>
            <w:pPr>
              <w:spacing w:after="0"/>
            </w:pPr>
            <w:r>
              <w:t xml:space="preserve">Needs work</w:t>
            </w:r>
          </w:p>
        </w:tc>
        <w:tc>
          <w:tcPr>
            <w:tcW w:w="2340" w:type="dxa"/>
          </w:tcPr>
          <w:p>
            <w:pPr>
              <w:spacing w:after="0"/>
            </w:pPr>
            <w:r>
              <w:t xml:space="preserve">2</w:t>
            </w:r>
          </w:p>
        </w:tc>
        <w:tc>
          <w:tcPr>
            <w:tcW w:w="2340" w:type="dxa"/>
          </w:tcPr>
          <w:p>
            <w:pPr>
              <w:spacing w:after="0"/>
            </w:pPr>
            <w:r>
              <w:t xml:space="preserve">5</w:t>
            </w:r>
          </w:p>
        </w:tc>
        <w:tc>
          <w:tcPr>
            <w:tcW w:w="2340" w:type="dxa"/>
          </w:tcPr>
          <w:p>
            <w:pPr>
              <w:spacing w:after="0"/>
            </w:pPr>
            <w:r>
              <w:t xml:space="preserve">28.6%</w:t>
            </w:r>
          </w:p>
        </w:tc>
      </w:tr>
    </w:tbl>
    <w:p>
      <w:pPr/>
      <w:r>
        <w:t/>
      </w:r>
    </w:p>
    <w:p>
      <w:pPr>
        <w:spacing w:after="140"/>
      </w:pPr>
      <w:r>
        <w:t xml:space="preserve">Odds ratio 0.75. Fisher's exact test, two-sided: p = 1.000. Null.</w:t>
      </w:r>
    </w:p>
    <w:p>
      <w:pPr>
        <w:spacing w:after="140"/>
      </w:pPr>
      <w:r>
        <w:t xml:space="preserve">Read alongside Sections 5.3 and 5.4,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 Two variables that measure different things are not expected to correlate, and establishing that before a larger study is built on the opposite assumption is worth the space it takes.</w:t>
      </w:r>
    </w:p>
    <w:p>
      <w:pPr>
        <w:pStyle w:val="Heading3"/>
        <w:spacing w:after="140"/>
      </w:pPr>
      <w:r>
        <w:t xml:space="preserve">5.6 The same instrument, a different corpus, and the association appears</w:t>
      </w:r>
    </w:p>
    <w:p>
      <w:pPr>
        <w:spacing w:after="140"/>
      </w:pPr>
      <w:r>
        <w:t xml:space="preserve">That explanation can be tested rather than asserted. The same instrument has been applied in a second domain, employment and labour matters, by a different reviewer working independently of this study, on 20 adjudicated matters drawn from 20 distinct published decisions across six forums in two countries, including United States Supreme Court decisions, Federal Labor Relations Authority decisions, and United Kingdom Employment Tribunal judgments. Twenty-two matters were screened and two were excluded before analysis under that study's stated inclusion criteria, one of them a public-records advisory opinion that belongs to the present corpus rather than to an employment one. Those cases are not selected for published freedom-of-information controversy, and the base rate of adverse outcomes in that set is close to even rather than three to one.</w:t>
      </w:r>
    </w:p>
    <w:p>
      <w:pPr>
        <w:spacing w:after="140"/>
      </w:pPr>
      <w:r>
        <w:t xml:space="preserve">In that corpus the read is associated with the documented outcome. On the outcome coding that asks whether a matter drew an adverse finding, one of three codings that study reports with equal standing because no analysis plan fixing a primary coding was recorded before its data closed, records read as Needs work or Gap did so in 6 of 8 cases (75.0 percent, 95 percent Wilson interval 40.9 to 92.9) against 2 of 12 records read as Ready (16.7 percent, interval 4.7 to 44.8); Fisher's exact test, two-sided, p = 0.0194, odds ratio 15.00. On the coding that matches the specification check above, restricted to the 13 matters carrying a resolved disposition and asking only whether the employer's position was sustained, the association holds at p = 0.0291.</w:t>
      </w:r>
    </w:p>
    <w:p>
      <w:pPr>
        <w:spacing w:after="140"/>
      </w:pPr>
      <w:r>
        <w:t xml:space="preserve">That result belongs to the second study and is reported in full there, with its own limits, which include a small resolved sample and a single reviewer. It is cited here for one narrow purpose: the boundary condition proposed in this section is not a post-hoc rescue of a null. Where the corpus is not filtered by publication, the association the present corpus could not show is present. Both observations are consistent with a read that measures documentation quality and a publication process that selects on something else.</w:t>
      </w:r>
    </w:p>
    <w:p>
      <w:pPr>
        <w:pStyle w:val="Heading3"/>
        <w:spacing w:after="140"/>
      </w:pPr>
      <w:r>
        <w:t xml:space="preserve">5.7 Blind second read</w:t>
      </w:r>
    </w:p>
    <w:p>
      <w:pPr>
        <w:spacing w:after="140"/>
      </w:pPr>
      <w:r>
        <w:t xml:space="preserve">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w:t>
      </w:r>
      <w:r>
        <w:rPr>
          <w:b/>
        </w:rPr>
        <w:t xml:space="preserve">all 3 disagreements were between adjacent categories; none was a Ready against a Gap.</w:t>
      </w:r>
      <w:r>
        <w:t xml:space="preserve"> Linear weighted kappa, which credits an adjacent disagreement more than a distant one, is 0.559. Gwet's AC1, which does not collapse when one category holds most of the margin, as Ready does here at 6 of 10,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pPr>
        <w:pStyle w:val="Heading2"/>
        <w:spacing w:after="140"/>
      </w:pPr>
      <w:r>
        <w:t xml:space="preserve">6. Discussion</w:t>
      </w:r>
    </w:p>
    <w:p>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reconstructability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pPr>
        <w:spacing w:after="140"/>
      </w:pPr>
      <w:r>
        <w:t xml:space="preserve">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reconstructability, catching the case where better tooling produces fluent but unreconstructable records.</w:t>
      </w:r>
    </w:p>
    <w:p>
      <w:pPr>
        <w:spacing w:after="140"/>
      </w:pPr>
      <w:r>
        <w:t xml:space="preserve">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pStyle w:val="Heading2"/>
        <w:spacing w:after="140"/>
      </w:pPr>
      <w:r>
        <w:t xml:space="preserve">7. Limitations</w:t>
      </w:r>
    </w:p>
    <w:p>
      <w:pPr>
        <w:spacing w:after="140"/>
      </w:pPr>
      <w:r>
        <w:t xml:space="preserve">All 32 reads were recorded by a single domain reviewer. </w:t>
      </w:r>
      <w:r>
        <w:rPr>
          <w:b/>
        </w:rPr>
        <w:t xml:space="preserve">10 of them, not all 32, were re-read blind by an independent reviewer</w:t>
      </w:r>
      <w:r>
        <w:t xml:space="preserve">, so reader dependence is estimated on a subset and not 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pPr>
        <w:spacing w:after="140"/>
      </w:pPr>
      <w:r>
        <w:t xml:space="preserve">The note coding in Section 5.3 is post-hoc rather than pre-registered, and is reported as construct evidence rather than as a confirmatory test.</w:t>
      </w:r>
    </w:p>
    <w:p>
      <w:pPr>
        <w:spacing w:after="140"/>
      </w:pPr>
      <w:r>
        <w:t xml:space="preserve">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corpus document class and read are not independent, which bounds Sections 5.2 and 5.4 to the readings given there.</w:t>
      </w:r>
    </w:p>
    <w:p>
      <w:pPr>
        <w:spacing w:after="140"/>
      </w:pPr>
      <w:r>
        <w:t xml:space="preserve">The corpus is two states, New York and Connecticut. Generalization beyond them is not claimed.</w:t>
      </w:r>
    </w:p>
    <w:p>
      <w:pPr>
        <w:spacing w:after="140"/>
      </w:pPr>
      <w:r>
        <w:t xml:space="preserve">The cross-domain observation in Section 5.6 is not a result of this study. It belongs to a separate employment-law corpus of 20 adjudicated matters, screened from 22 before two were excluded under that study's stated inclusion criteria. That corpus was collected by a different reviewer and is reported in full in a companion manuscript. It is cited here only as a test of the boundary condition proposed in Section 5.5.</w:t>
      </w:r>
    </w:p>
    <w:p>
      <w:pPr>
        <w:spacing w:after="140"/>
      </w:pPr>
      <w:r>
        <w:t xml:space="preserve">Seven cases record a contest without a resolved disposition, which reduces the specification check from 27 determinations to 20.</w:t>
      </w:r>
    </w:p>
    <w:p>
      <w:pPr>
        <w:spacing w:after="140"/>
      </w:pPr>
      <w:r>
        <w:t xml:space="preserve">The reviewer read the determination as reported in a published decision or audit, which is not identical to the file the original decision-maker produced.</w:t>
      </w:r>
    </w:p>
    <w:p>
      <w:pPr>
        <w:spacing w:after="140"/>
      </w:pPr>
      <w:r>
        <w:t xml:space="preserve">The standard remains in a validation phase and makes no proven-effectiveness claim.</w:t>
      </w:r>
    </w:p>
    <w:p>
      <w:pPr>
        <w:pStyle w:val="Heading2"/>
        <w:spacing w:after="140"/>
      </w:pPr>
      <w:r>
        <w:t xml:space="preserve">8. Conclusion</w:t>
      </w:r>
    </w:p>
    <w:p>
      <w:pPr>
        <w:spacing w:after="140"/>
      </w:pPr>
      <w:r>
        <w:t xml:space="preserve">The drafting tool and the technology stack will keep changing. The evidentiary test does not. A public-records determination that cannot be rebuilt from its own contents cannot be independently defended, whoever or whatever produced it.</w:t>
      </w:r>
    </w:p>
    <w:p>
      <w:pPr>
        <w:spacing w:after="140"/>
      </w:pPr>
      <w:r>
        <w:t xml:space="preserve">This pilot delivers a working protocol, a completed and citable 32-case set spanning four document classes, two states and twenty-one years of decisions, agreement with independent government auditors in every case where both instruments were available, and two independent lines of evidence that the read tracks reconstructability rather than outcome.</w:t>
      </w:r>
    </w:p>
    <w:p>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 The employment-law corpus described in Section 5.6 suggests the same design will detect an outcome association wherever the case set is not filtered by publication. The audit finding is the outcome measure with which the read showed concordance in this sample, and it is the one a records programme can act on.</w:t>
      </w:r>
    </w:p>
    <w:p>
      <w:pPr>
        <w:pStyle w:val="Heading2"/>
        <w:spacing w:after="140"/>
      </w:pPr>
      <w:r>
        <w:t xml:space="preserve">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pStyle w:val="Heading3"/>
        <w:spacing w:after="140"/>
      </w:pPr>
      <w:r>
        <w:t xml:space="preserve">Cited determinations, opinions, and audits</w:t>
      </w:r>
    </w:p>
    <w:p>
      <w:pPr>
        <w:spacing w:after="140"/>
      </w:pPr>
      <w:r>
        <w:t xml:space="preserve">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spacing w:after="140"/>
      </w:pPr>
      <w:r>
        <w:t xml:space="preserve">New York Committee on Open Government advisory opinions: FOIL AO 19516 (December 5, 2016); FOIL AO 19639 (December 20, 2017); FOIL AO 19646 (February 16, 2018); FOIL AO 19721 (April 12, 2019); FOIL AO 19746 (July 16, 2019); FOIL AO 19780 (September 21, 2020); FOIL AO 19854 (October 18, 2023).</w:t>
      </w:r>
    </w:p>
    <w:p>
      <w:pPr>
        <w:spacing w:after="140"/>
      </w:pPr>
      <w:r>
        <w:t xml:space="preserve">Connecticut Freedom of Information Commission final decisions: FIC2012-276; FIC2015-122.</w:t>
      </w:r>
    </w:p>
    <w:p>
      <w:pPr>
        <w:spacing w:after="140"/>
      </w:pPr>
      <w:r>
        <w:t xml:space="preserve">Compliance audits: New York State Comptroller, compliance with Freedom of Information Law requirements (2020, 2021, 2023); New York City Comptroller, Review of the New York City Police Department's Body-Worn Camera Program (2025).</w:t>
      </w:r>
    </w:p>
    <w:p>
      <w:pPr>
        <w:pStyle w:val="Heading2"/>
        <w:spacing w:after="140"/>
      </w:pPr>
      <w:r>
        <w:t xml:space="preserve">Data availability</w:t>
      </w:r>
    </w:p>
    <w:p>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figure in Section 5 is reproduced by </w:t>
      </w:r>
      <w:r>
        <w:rPr>
          <w:rFonts w:ascii="Consolas" w:hAnsi="Consolas"/>
        </w:rPr>
        <w:t xml:space="preserve">analysis.py</w:t>
      </w:r>
      <w:r>
        <w:t xml:space="preserve">, which uses only the Python standard library, needs no network access, and verifies each figure against the manuscript text on every run. It computes the Section 5.3 cell counts from the construct coding frame and the Section 5.4 groups from the structural coding frame, so the chain from case to coding to result is a file at every step. Fisher's exact test, the Wilson interval, Cohen's kappa and Gwet's AC1 are written out in that file rather than imported. The blind second read of Section 5.7, its per-case answers and every coefficient are held in </w:t>
      </w:r>
      <w:r>
        <w:rPr>
          <w:rFonts w:ascii="Consolas" w:hAnsi="Consolas"/>
        </w:rPr>
        <w:t xml:space="preserve">Blind_Recheck_RESULT_2026-08-28.json</w:t>
      </w:r>
      <w:r>
        <w:t xml:space="preserve">. The complete case set with citations and notes is available from the authors and will be released with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