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Can you wait on the filings, and what else raises the asset value</w:t>
      </w:r>
    </w:p>
    <w:p>
      <w:pPr>
        <w:spacing w:after="140"/>
      </w:pPr>
      <w:r>
        <w:rPr>
          <w:b/>
        </w:rPr>
        <w:t xml:space="preserve">Prepared 2026-08-13 for Phillip Wikes.</w:t>
      </w:r>
    </w:p>
    <w:p>
      <w:pPr>
        <w:pBdr>
          <w:bottom w:val="single" w:sz="6" w:space="1" w:color="AAAAAA"/>
        </w:pBdr>
      </w:pPr>
    </w:p>
    <w:p>
      <w:pPr>
        <w:pStyle w:val="Heading2"/>
        <w:spacing w:after="140"/>
      </w:pPr>
      <w:r>
        <w:t xml:space="preserve">Part 1: You are right. You can wait.</w:t>
      </w:r>
    </w:p>
    <w:p>
      <w:pPr>
        <w:pStyle w:val="Heading3"/>
        <w:spacing w:after="140"/>
      </w:pPr>
      <w:r>
        <w:t xml:space="preserve">Copyright: you already have it. There is nothing to buy.</w:t>
      </w:r>
    </w:p>
    <w:p>
      <w:pPr>
        <w:spacing w:after="140"/>
      </w:pPr>
      <w:r>
        <w:rPr>
          <w:b/>
        </w:rPr>
        <w:t xml:space="preserve">Copyright exists the moment you write something.</w:t>
      </w:r>
      <w:r>
        <w:t xml:space="preserve"> No filing, no fee, no form. Every article, every guide, every page of the standard has been protected from the day you wrote it.</w:t>
      </w:r>
    </w:p>
    <w:p>
      <w:pPr>
        <w:spacing w:after="140"/>
      </w:pPr>
      <w:r>
        <w:t xml:space="preserve">US </w:t>
      </w:r>
      <w:r>
        <w:rPr>
          <w:i/>
        </w:rPr>
        <w:t xml:space="preserve">registration</w:t>
      </w:r>
      <w:r>
        <w:t xml:space="preserve"> is a separate, optional thing. It buys you two narrow advantages: the right to sue in a US federal court, and statutory damages plus attorney's fees </w:t>
      </w:r>
      <w:r>
        <w:rPr>
          <w:b/>
        </w:rPr>
        <w:t xml:space="preserve">if you registered before the infringement happened</w:t>
      </w:r>
      <w:r>
        <w:t xml:space="preserve">.</w:t>
      </w:r>
    </w:p>
    <w:p>
      <w:pPr>
        <w:spacing w:after="140"/>
      </w:pPr>
      <w:r>
        <w:rPr>
          <w:b/>
        </w:rPr>
        <w:t xml:space="preserve">For a sale, registration is not required.</w:t>
      </w:r>
      <w:r>
        <w:t xml:space="preserve"> The copyright transfers with the assignment either way. A buyer's lawyer checks that you own it and can transfer it. They do not check for a registration certificate.</w:t>
      </w:r>
    </w:p>
    <w:p>
      <w:pPr>
        <w:spacing w:after="140"/>
      </w:pPr>
      <w:r>
        <w:rPr>
          <w:b/>
        </w:rPr>
        <w:t xml:space="preserve">Verdict: correct. Do not spend money registering copyright now.</w:t>
      </w:r>
      <w:r>
        <w:t xml:space="preserve"> If somebody actually copies your work, register then. You lose only statutory damages for the earlier period, and you were never going to litigate that anyway.</w:t>
      </w:r>
    </w:p>
    <w:p>
      <w:pPr>
        <w:pStyle w:val="Heading3"/>
        <w:spacing w:after="140"/>
      </w:pPr>
      <w:r>
        <w:t xml:space="preserve">Trademark: you can wait, and waiting may be the better play</w:t>
      </w:r>
    </w:p>
    <w:p>
      <w:pPr>
        <w:spacing w:after="140"/>
      </w:pPr>
      <w:r>
        <w:t xml:space="preserve">I told you to file now for $700. </w:t>
      </w:r>
      <w:r>
        <w:rPr>
          <w:b/>
        </w:rPr>
        <w:t xml:space="preserve">You have pushed back with a real argument and I think you are more right than I was.</w:t>
      </w:r>
      <w:r>
        <w:t xml:space="preserve"> Here is the honest re-think.</w:t>
      </w:r>
    </w:p>
    <w:p>
      <w:pPr>
        <w:spacing w:after="140"/>
      </w:pPr>
      <w:r>
        <w:rPr>
          <w:b/>
        </w:rPr>
        <w:t xml:space="preserve">What waiting costs you:</w:t>
      </w:r>
      <w:r>
        <w:t xml:space="preserve"> if somebody else files JRS or DRR in Class 042 before you, they take priority and you are blocked. That is the only real risk, and it is unrecoverable.</w:t>
      </w:r>
    </w:p>
    <w:p>
      <w:pPr>
        <w:spacing w:after="140"/>
      </w:pPr>
      <w:r>
        <w:rPr>
          <w:b/>
        </w:rPr>
        <w:t xml:space="preserve">How likely is that?</w:t>
      </w:r>
      <w:r>
        <w:t xml:space="preserve"> Low. Someone would have to file those exact letters for records-review and AI-governance services in the next several months. Nothing in your field suggests it is coming.</w:t>
      </w:r>
    </w:p>
    <w:p>
      <w:pPr>
        <w:spacing w:after="140"/>
      </w:pPr>
      <w:r>
        <w:rPr>
          <w:b/>
        </w:rPr>
        <w:t xml:space="preserve">What filing now costs you, beyond the $700:</w:t>
      </w:r>
      <w:r>
        <w:t xml:space="preserve"> this is the part I under-weighted. </w:t>
      </w:r>
      <w:r>
        <w:rPr>
          <w:b/>
        </w:rPr>
        <w:t xml:space="preserve">An intent-to-use application cannot be freely assigned before a Statement of Use is filed.</w:t>
      </w:r>
      <w:r>
        <w:t xml:space="preserve"> It transfers only to a successor of the ongoing business. So filing now creates an asset that is </w:t>
      </w:r>
      <w:r>
        <w:rPr>
          <w:b/>
        </w:rPr>
        <w:t xml:space="preserve">harder</w:t>
      </w:r>
      <w:r>
        <w:t xml:space="preserve"> to hand over cleanly, in the middle of a sale. Filing shortly before a sale is the worst timing of all: a fresh application, definitely no Statement of Use, maximum restriction.</w:t>
      </w:r>
    </w:p>
    <w:p>
      <w:pPr>
        <w:spacing w:after="140"/>
      </w:pPr>
      <w:r>
        <w:rPr>
          <w:b/>
        </w:rPr>
        <w:t xml:space="preserve">The cleanest structure is often that the buyer files.</w:t>
      </w:r>
      <w:r>
        <w:t xml:space="preserve"> Their application carries a genuine commercial plan behind the required bona fide intent statement. Yours cannot, because you have $0 revenue and dropped commercialization. Their filing is simply stronger than yours.</w:t>
      </w:r>
    </w:p>
    <w:p>
      <w:pPr>
        <w:spacing w:after="140"/>
      </w:pPr>
      <w:r>
        <w:rPr>
          <w:b/>
        </w:rPr>
        <w:t xml:space="preserve">Verdict: correct. You can wait.</w:t>
      </w:r>
      <w:r>
        <w:t xml:space="preserve"> Do not file on a schedule. File on a trigger.</w:t>
      </w:r>
    </w:p>
    <w:p>
      <w:pPr>
        <w:pStyle w:val="Heading3"/>
        <w:spacing w:after="140"/>
      </w:pPr>
      <w:r>
        <w:t xml:space="preserve">The three triggers. File only when one fires.</w:t>
      </w:r>
    </w:p>
    <w:p>
      <w:pPr>
        <w:numPr>
          <w:ilvl w:val="0"/>
          <w:numId w:val="2"/>
        </w:numPr>
        <w:spacing w:after="60"/>
      </w:pPr>
      <w:r>
        <w:rPr>
          <w:b/>
        </w:rPr>
        <w:t xml:space="preserve">A buyer asks for it filed</w:t>
      </w:r>
      <w:r>
        <w:t xml:space="preserve">, or their counsel says pending applications improve the deal.</w:t>
      </w:r>
    </w:p>
    <w:p>
      <w:pPr>
        <w:numPr>
          <w:ilvl w:val="0"/>
          <w:numId w:val="2"/>
        </w:numPr>
        <w:spacing w:after="60"/>
      </w:pPr>
      <w:r>
        <w:rPr>
          <w:b/>
        </w:rPr>
        <w:t xml:space="preserve">You decide to commercialize yourself.</w:t>
      </w:r>
      <w:r>
        <w:t xml:space="preserve"> Then you have real bona fide intent and should file the same week.</w:t>
      </w:r>
    </w:p>
    <w:p>
      <w:pPr>
        <w:numPr>
          <w:ilvl w:val="0"/>
          <w:numId w:val="2"/>
        </w:numPr>
        <w:spacing w:after="60"/>
      </w:pPr>
      <w:r>
        <w:rPr>
          <w:b/>
        </w:rPr>
        <w:t xml:space="preserve">Somebody else files something close.</w:t>
      </w:r>
      <w:r>
        <w:t xml:space="preserve"> Set a free USPTO alert; check </w:t>
      </w:r>
      <w:r>
        <w:rPr>
          <w:rFonts w:ascii="Consolas" w:hAnsi="Consolas"/>
        </w:rPr>
        <w:t xml:space="preserve">tmsearch.uspto.gov</w:t>
      </w:r>
      <w:r>
        <w:t xml:space="preserve"> for JRS and DRR in Class 042 once a quarter. Ten minutes, four times a year.</w:t>
      </w:r>
    </w:p>
    <w:p>
      <w:pPr>
        <w:spacing w:after="140"/>
      </w:pPr>
      <w:r>
        <w:rPr>
          <w:b/>
        </w:rPr>
        <w:t xml:space="preserve">Until one of those fires, keep the $700.</w:t>
      </w:r>
      <w:r>
        <w:t xml:space="preserve"> The filing guide stays on file and is ready the day you need it.</w:t>
      </w:r>
    </w:p>
    <w:p>
      <w:pPr>
        <w:pStyle w:val="Heading3"/>
        <w:spacing w:after="140"/>
      </w:pPr>
      <w:r>
        <w:t xml:space="preserve">What actually protects you in the meantime</w:t>
      </w:r>
    </w:p>
    <w:p>
      <w:pPr>
        <w:spacing w:after="140"/>
      </w:pPr>
      <w:r>
        <w:t xml:space="preserve">Not a trademark. </w:t>
      </w:r>
      <w:r>
        <w:rPr>
          <w:b/>
        </w:rPr>
        <w:t xml:space="preserve">A dated, public, hash-anchored publication record.</w:t>
      </w:r>
      <w:r>
        <w:t xml:space="preserve"> You already have it: the papers, the site, the study dates, the reviewer roster. That is prior art. It stops somebody patenting around you and it evidences that you were first, which is the thing a trademark cannot do anyway.</w:t>
      </w:r>
    </w:p>
    <w:p>
      <w:pPr>
        <w:pBdr>
          <w:bottom w:val="single" w:sz="6" w:space="1" w:color="AAAAAA"/>
        </w:pBdr>
      </w:pPr>
    </w:p>
    <w:p>
      <w:pPr>
        <w:pStyle w:val="Heading2"/>
        <w:spacing w:after="140"/>
      </w:pPr>
      <w:r>
        <w:t xml:space="preserve">Part 2: How to raise the asset value, beyond publishing</w:t>
      </w:r>
    </w:p>
    <w:p>
      <w:pPr>
        <w:spacing w:after="140"/>
      </w:pPr>
      <w:r>
        <w:t xml:space="preserve">Ranked by value gained per hour spent. </w:t>
      </w:r>
      <w:r>
        <w:rPr>
          <w:b/>
        </w:rPr>
        <w:t xml:space="preserve">The first one is worth more than everything else combined and almost nobody does it.</w:t>
      </w:r>
    </w:p>
    <w:p>
      <w:pPr>
        <w:pStyle w:val="Heading3"/>
        <w:spacing w:after="140"/>
      </w:pPr>
      <w:r>
        <w:t xml:space="preserve">1. Chain of title. This is the one that kills deals.</w:t>
      </w:r>
    </w:p>
    <w:p>
      <w:pPr>
        <w:spacing w:after="140"/>
      </w:pPr>
      <w:r>
        <w:rPr>
          <w:b/>
        </w:rPr>
        <w:t xml:space="preserve">A buyer's lawyer checks who owns the work before they check whether the work is any good.</w:t>
      </w:r>
      <w:r>
        <w:t xml:space="preserve"> If they cannot trace clean ownership of every contribution, the price drops or the deal dies. This is the single most common reason IP sales collapse.</w:t>
      </w:r>
    </w:p>
    <w:p>
      <w:pPr>
        <w:spacing w:after="140"/>
      </w:pPr>
      <w:r>
        <w:t xml:space="preserve">You are partway there already: </w:t>
      </w:r>
      <w:r>
        <w:rPr>
          <w:b/>
        </w:rPr>
        <w:t xml:space="preserve">12 of 16 records carry a transfer consent flag.</w:t>
      </w:r>
      <w:r>
        <w:t xml:space="preserve"> That is genuinely good and most people have nothing.</w:t>
      </w:r>
    </w:p>
    <w:p>
      <w:pPr>
        <w:spacing w:after="140"/>
      </w:pPr>
      <w:r>
        <w:rPr>
          <w:b/>
        </w:rPr>
        <w:t xml:space="preserve">What to finish:</w:t>
      </w:r>
    </w:p>
    <w:p>
      <w:pPr>
        <w:numPr>
          <w:ilvl w:val="0"/>
          <w:numId w:val="1"/>
        </w:numPr>
        <w:spacing w:after="60"/>
      </w:pPr>
      <w:r>
        <w:t xml:space="preserve">Written assignment or licence from every co-author on the papers.</w:t>
      </w:r>
    </w:p>
    <w:p>
      <w:pPr>
        <w:numPr>
          <w:ilvl w:val="0"/>
          <w:numId w:val="1"/>
        </w:numPr>
        <w:spacing w:after="60"/>
      </w:pPr>
      <w:r>
        <w:t xml:space="preserve">The remaining contributors without a transfer flag.</w:t>
      </w:r>
    </w:p>
    <w:p>
      <w:pPr>
        <w:numPr>
          <w:ilvl w:val="0"/>
          <w:numId w:val="1"/>
        </w:numPr>
        <w:spacing w:after="60"/>
      </w:pPr>
      <w:r>
        <w:t xml:space="preserve">A one-page schedule listing every asset: papers, guides, site, code, benchmark, data, domain, and who owns each.</w:t>
      </w:r>
    </w:p>
    <w:p>
      <w:pPr>
        <w:spacing w:after="140"/>
      </w:pPr>
      <w:r>
        <w:rPr>
          <w:b/>
        </w:rPr>
        <w:t xml:space="preserve">Cost: a few days and one attorney review. Effect: removes the largest single risk of the deal falling apart.</w:t>
      </w:r>
      <w:r>
        <w:t xml:space="preserve"> Nothing else on this list matters if this is missing.</w:t>
      </w:r>
    </w:p>
    <w:p>
      <w:pPr>
        <w:pStyle w:val="Heading3"/>
        <w:spacing w:after="140"/>
      </w:pPr>
      <w:r>
        <w:t xml:space="preserve">2. Package the benchmark as a licensable evaluation set</w:t>
      </w:r>
    </w:p>
    <w:p>
      <w:pPr>
        <w:spacing w:after="140"/>
      </w:pPr>
      <w:r>
        <w:rPr>
          <w:b/>
        </w:rPr>
        <w:t xml:space="preserve">This is your most under-exploited asset and I do not think you are seeing it.</w:t>
      </w:r>
    </w:p>
    <w:p>
      <w:pPr>
        <w:spacing w:after="140"/>
      </w:pPr>
      <w:r>
        <w:t xml:space="preserve">You have a 24-record set, graded by </w:t>
      </w:r>
      <w:r>
        <w:rPr>
          <w:b/>
        </w:rPr>
        <w:t xml:space="preserve">32 independent experts across 16 countries</w:t>
      </w:r>
      <w:r>
        <w:t xml:space="preserve">, scored against an answer key that was </w:t>
      </w:r>
      <w:r>
        <w:rPr>
          <w:b/>
        </w:rPr>
        <w:t xml:space="preserve">fixed and independently verified before any scoring took place</w:t>
      </w:r>
      <w:r>
        <w:t xml:space="preserve">, with </w:t>
      </w:r>
      <w:r>
        <w:rPr>
          <w:b/>
        </w:rPr>
        <w:t xml:space="preserve">measured inter-rater reliability (Gwet's AC1 0.739, with a confidence interval)</w:t>
      </w:r>
      <w:r>
        <w:t xml:space="preserve">.</w:t>
      </w:r>
    </w:p>
    <w:p>
      <w:pPr>
        <w:spacing w:after="140"/>
      </w:pPr>
      <w:r>
        <w:t xml:space="preserve">That is roughly </w:t>
      </w:r>
      <w:r>
        <w:rPr>
          <w:b/>
        </w:rPr>
        <w:t xml:space="preserve">768 expert-graded reads on a pre-registered key.</w:t>
      </w:r>
      <w:r>
        <w:t xml:space="preserve"> Labelled evaluation data of that quality, with real credentialed raters and published reliability, is scarce and expensive to produce. AI governance vendors, model evaluators and audit firms need exactly this kind of set and cannot easily build one.</w:t>
      </w:r>
    </w:p>
    <w:p>
      <w:pPr>
        <w:spacing w:after="140"/>
      </w:pPr>
      <w:r>
        <w:rPr>
          <w:b/>
        </w:rPr>
        <w:t xml:space="preserve">Package it as a product:</w:t>
      </w:r>
      <w:r>
        <w:t xml:space="preserve"> the record set, the gold key held separately, a data dictionary, the scoring harness, and the reliability statistics. Licence it, or sell it as a distinct line item.</w:t>
      </w:r>
    </w:p>
    <w:p>
      <w:pPr>
        <w:spacing w:after="140"/>
      </w:pPr>
      <w:r>
        <w:rPr>
          <w:b/>
        </w:rPr>
        <w:t xml:space="preserve">A standard is a document. A benchmark with expert labels is an instrument.</w:t>
      </w:r>
      <w:r>
        <w:t xml:space="preserve"> Buyers pay much more for the instrument.</w:t>
      </w:r>
    </w:p>
    <w:p>
      <w:pPr>
        <w:pStyle w:val="Heading3"/>
        <w:spacing w:after="140"/>
      </w:pPr>
      <w:r>
        <w:t xml:space="preserve">3. Freeze and version the standard</w:t>
      </w:r>
    </w:p>
    <w:p>
      <w:pPr>
        <w:spacing w:after="140"/>
      </w:pPr>
      <w:r>
        <w:t xml:space="preserve">Publish </w:t>
      </w:r>
      <w:r>
        <w:rPr>
          <w:b/>
        </w:rPr>
        <w:t xml:space="preserve">JRS v1.0</w:t>
      </w:r>
      <w:r>
        <w:t xml:space="preserve"> as a dated, hashed, immutable release. Give it a citation format and a DOI if you can get one.</w:t>
      </w:r>
    </w:p>
    <w:p>
      <w:pPr>
        <w:spacing w:after="140"/>
      </w:pPr>
      <w:r>
        <w:rPr>
          <w:b/>
        </w:rPr>
        <w:t xml:space="preserve">Something citable and frozen is licensable. A living document is not.</w:t>
      </w:r>
      <w:r>
        <w:t xml:space="preserve"> This takes an afternoon.</w:t>
      </w:r>
    </w:p>
    <w:p>
      <w:pPr>
        <w:pStyle w:val="Heading3"/>
        <w:spacing w:after="140"/>
      </w:pPr>
      <w:r>
        <w:t xml:space="preserve">4. Get third-party adoption on the record</w:t>
      </w:r>
    </w:p>
    <w:p>
      <w:pPr>
        <w:spacing w:after="140"/>
      </w:pPr>
      <w:r>
        <w:rPr>
          <w:b/>
        </w:rPr>
        <w:t xml:space="preserve">One named institution using or citing your standard is worth more than ten more articles by you.</w:t>
      </w:r>
      <w:r>
        <w:t xml:space="preserve"> Articles establish priority. Adoption establishes value.</w:t>
      </w:r>
    </w:p>
    <w:p>
      <w:pPr>
        <w:spacing w:after="140"/>
      </w:pPr>
      <w:r>
        <w:t xml:space="preserve">Cheap routes:</w:t>
      </w:r>
    </w:p>
    <w:p>
      <w:pPr>
        <w:numPr>
          <w:ilvl w:val="0"/>
          <w:numId w:val="1"/>
        </w:numPr>
        <w:spacing w:after="60"/>
      </w:pPr>
      <w:r>
        <w:t xml:space="preserve">Submit a comment to a regulator's open consultation on AI governance or record-keeping. Public, dated, attributable.</w:t>
      </w:r>
    </w:p>
    <w:p>
      <w:pPr>
        <w:numPr>
          <w:ilvl w:val="0"/>
          <w:numId w:val="1"/>
        </w:numPr>
        <w:spacing w:after="60"/>
      </w:pPr>
      <w:r>
        <w:t xml:space="preserve">Offer the standard to a standards community (ISO/IEC 42001 practitioner groups, NIST AI RMF community) as a contributed practice note.</w:t>
      </w:r>
    </w:p>
    <w:p>
      <w:pPr>
        <w:numPr>
          <w:ilvl w:val="0"/>
          <w:numId w:val="1"/>
        </w:numPr>
        <w:spacing w:after="60"/>
      </w:pPr>
      <w:r>
        <w:t xml:space="preserve">Get one university or professional-training programme to reference the guides in a syllabus.</w:t>
      </w:r>
    </w:p>
    <w:p>
      <w:pPr>
        <w:spacing w:after="140"/>
      </w:pPr>
      <w:r>
        <w:rPr>
          <w:b/>
        </w:rPr>
        <w:t xml:space="preserve">Each one is a line in the data room that says somebody other than the author uses this.</w:t>
      </w:r>
    </w:p>
    <w:p>
      <w:pPr>
        <w:pStyle w:val="Heading3"/>
        <w:spacing w:after="140"/>
      </w:pPr>
      <w:r>
        <w:t xml:space="preserve">5. Formalise the unpublished parts as trade secrets</w:t>
      </w:r>
    </w:p>
    <w:p>
      <w:pPr>
        <w:spacing w:after="140"/>
      </w:pPr>
      <w:r>
        <w:t xml:space="preserve">The </w:t>
      </w:r>
      <w:r>
        <w:rPr>
          <w:b/>
        </w:rPr>
        <w:t xml:space="preserve">gold key</w:t>
      </w:r>
      <w:r>
        <w:t xml:space="preserve"> must never be published, or the benchmark is worthless. Right now it is protected by being in a private table. That is not the same as being a documented trade secret.</w:t>
      </w:r>
    </w:p>
    <w:p>
      <w:pPr>
        <w:spacing w:after="140"/>
      </w:pPr>
      <w:r>
        <w:t xml:space="preserve">Write down what is secret, who can access it, and how access is controlled. </w:t>
      </w:r>
      <w:r>
        <w:rPr>
          <w:b/>
        </w:rPr>
        <w:t xml:space="preserve">A documented trade secret is a transferable asset. An undocumented one is just a file.</w:t>
      </w:r>
      <w:r>
        <w:t xml:space="preserve"> Half a day.</w:t>
      </w:r>
    </w:p>
    <w:p>
      <w:pPr>
        <w:pStyle w:val="Heading3"/>
        <w:spacing w:after="140"/>
      </w:pPr>
      <w:r>
        <w:t xml:space="preserve">6. Publish the reproducibility evidence pack</w:t>
      </w:r>
    </w:p>
    <w:p>
      <w:pPr>
        <w:spacing w:after="140"/>
      </w:pPr>
      <w:r>
        <w:t xml:space="preserve">You have a nightly study runner and dated analysis scripts. In a field full of claims nobody can reproduce, </w:t>
      </w:r>
      <w:r>
        <w:rPr>
          <w:b/>
        </w:rPr>
        <w:t xml:space="preserve">"here is the harness, here are the dated outputs, run it yourself"</w:t>
      </w:r>
      <w:r>
        <w:t xml:space="preserve"> is a serious differentiator.</w:t>
      </w:r>
    </w:p>
    <w:p>
      <w:pPr>
        <w:spacing w:after="140"/>
      </w:pPr>
      <w:r>
        <w:t xml:space="preserve">Bundle: the scripts, the dated result series, and a README that lets a stranger reproduce your headline numbers. </w:t>
      </w:r>
      <w:r>
        <w:rPr>
          <w:b/>
        </w:rPr>
        <w:t xml:space="preserve">This converts "he says it works" into "we checked".</w:t>
      </w:r>
    </w:p>
    <w:p>
      <w:pPr>
        <w:pStyle w:val="Heading3"/>
        <w:spacing w:after="140"/>
      </w:pPr>
      <w:r>
        <w:t xml:space="preserve">7. Document the reviewer panel as a re-activatable asset</w:t>
      </w:r>
    </w:p>
    <w:p>
      <w:pPr>
        <w:spacing w:after="140"/>
      </w:pPr>
      <w:r>
        <w:rPr>
          <w:b/>
        </w:rPr>
        <w:t xml:space="preserve">32 credentialed experts across 16 countries who have already completed a full set for you</w:t>
      </w:r>
      <w:r>
        <w:t xml:space="preserve">, most with transfer consent. That is a recruited, proven panel, and recruiting one is expensive and slow.</w:t>
      </w:r>
    </w:p>
    <w:p>
      <w:pPr>
        <w:spacing w:after="140"/>
      </w:pPr>
      <w:r>
        <w:t xml:space="preserve">Write it up as an asset: size, countries, seniority, consent status, and what it would cost to rebuild. </w:t>
      </w:r>
      <w:r>
        <w:rPr>
          <w:b/>
        </w:rPr>
        <w:t xml:space="preserve">Do not publish names while the comparison study is blind.</w:t>
      </w:r>
    </w:p>
    <w:p>
      <w:pPr>
        <w:pStyle w:val="Heading3"/>
        <w:spacing w:after="140"/>
      </w:pPr>
      <w:r>
        <w:t xml:space="preserve">8. Defensive registrations, cheap</w:t>
      </w:r>
    </w:p>
    <w:p>
      <w:pPr>
        <w:spacing w:after="140"/>
      </w:pPr>
      <w:r>
        <w:t xml:space="preserve">Register the obvious adjacent domains and secure the handles. A few hundred dollars, closes a loose end a buyer will notice.</w:t>
      </w:r>
    </w:p>
    <w:p>
      <w:pPr>
        <w:pStyle w:val="Heading3"/>
        <w:spacing w:after="140"/>
      </w:pPr>
      <w:r>
        <w:t xml:space="preserve">9. Patent: probably not, and I would not spend on it</w:t>
      </w:r>
    </w:p>
    <w:p>
      <w:pPr>
        <w:spacing w:after="140"/>
      </w:pPr>
      <w:r>
        <w:t xml:space="preserve">A method for reviewing records is likely to be refused as an abstract idea under current US law. </w:t>
      </w:r>
      <w:r>
        <w:rPr>
          <w:b/>
        </w:rPr>
        <w:t xml:space="preserve">You would probably spend several thousand dollars to be told no.</w:t>
      </w:r>
      <w:r>
        <w:t xml:space="preserve"> I would skip it unless an attorney who has seen the actual mechanism tells you otherwise.</w:t>
      </w:r>
    </w:p>
    <w:p>
      <w:pPr>
        <w:pBdr>
          <w:bottom w:val="single" w:sz="6" w:space="1" w:color="AAAAAA"/>
        </w:pBdr>
      </w:pPr>
    </w:p>
    <w:p>
      <w:pPr>
        <w:pStyle w:val="Heading2"/>
        <w:spacing w:after="140"/>
      </w:pPr>
      <w:r>
        <w:t xml:space="preserve">What I would actually do, in order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Action</w:t>
            </w:r>
          </w:p>
        </w:tc>
        <w:tc>
          <w:tcPr>
            <w:tcW w:w="2340" w:type="dxa"/>
          </w:tcPr>
          <w:p>
            <w:pPr>
              <w:spacing w:after="0"/>
            </w:pPr>
            <w:r>
              <w:t xml:space="preserve">Effort</w:t>
            </w:r>
          </w:p>
        </w:tc>
        <w:tc>
          <w:tcPr>
            <w:tcW w:w="2340" w:type="dxa"/>
          </w:tcPr>
          <w:p>
            <w:pPr>
              <w:spacing w:after="0"/>
            </w:pPr>
            <w:r>
              <w:t xml:space="preserve">Why</w:t>
            </w:r>
          </w:p>
        </w:tc>
      </w:tr>
      <w:tr>
        <w:tc>
          <w:tcPr>
            <w:tcW w:w="2340" w:type="dxa"/>
          </w:tcPr>
          <w:p>
            <w:pPr>
              <w:spacing w:after="0"/>
            </w:pPr>
            <w:r>
              <w:t xml:space="preserve">1</w:t>
            </w:r>
          </w:p>
        </w:tc>
        <w:tc>
          <w:tcPr>
            <w:tcW w:w="2340" w:type="dxa"/>
          </w:tcPr>
          <w:p>
            <w:pPr>
              <w:spacing w:after="0"/>
            </w:pPr>
            <w:r>
              <w:t xml:space="preserve">Chain-of-title package</w:t>
            </w:r>
          </w:p>
        </w:tc>
        <w:tc>
          <w:tcPr>
            <w:tcW w:w="2340" w:type="dxa"/>
          </w:tcPr>
          <w:p>
            <w:pPr>
              <w:spacing w:after="0"/>
            </w:pPr>
            <w:r>
              <w:t xml:space="preserve">days</w:t>
            </w:r>
          </w:p>
        </w:tc>
        <w:tc>
          <w:tcPr>
            <w:tcW w:w="2340" w:type="dxa"/>
          </w:tcPr>
          <w:p>
            <w:pPr>
              <w:spacing w:after="0"/>
            </w:pPr>
            <w:r>
              <w:t xml:space="preserve">Largest single deal risk. Nothing else matters without it</w:t>
            </w:r>
          </w:p>
        </w:tc>
      </w:tr>
      <w:tr>
        <w:tc>
          <w:tcPr>
            <w:tcW w:w="2340" w:type="dxa"/>
          </w:tcPr>
          <w:p>
            <w:pPr>
              <w:spacing w:after="0"/>
            </w:pPr>
            <w:r>
              <w:t xml:space="preserve">2</w:t>
            </w:r>
          </w:p>
        </w:tc>
        <w:tc>
          <w:tcPr>
            <w:tcW w:w="2340" w:type="dxa"/>
          </w:tcPr>
          <w:p>
            <w:pPr>
              <w:spacing w:after="0"/>
            </w:pPr>
            <w:r>
              <w:t xml:space="preserve">Benchmark as a licensable eval set</w:t>
            </w:r>
          </w:p>
        </w:tc>
        <w:tc>
          <w:tcPr>
            <w:tcW w:w="2340" w:type="dxa"/>
          </w:tcPr>
          <w:p>
            <w:pPr>
              <w:spacing w:after="0"/>
            </w:pPr>
            <w:r>
              <w:t xml:space="preserve">1 to 2 weeks</w:t>
            </w:r>
          </w:p>
        </w:tc>
        <w:tc>
          <w:tcPr>
            <w:tcW w:w="2340" w:type="dxa"/>
          </w:tcPr>
          <w:p>
            <w:pPr>
              <w:spacing w:after="0"/>
            </w:pPr>
            <w:r>
              <w:t xml:space="preserve">Your scarcest asset, and currently invisible in the offer</w:t>
            </w:r>
          </w:p>
        </w:tc>
      </w:tr>
      <w:tr>
        <w:tc>
          <w:tcPr>
            <w:tcW w:w="2340" w:type="dxa"/>
          </w:tcPr>
          <w:p>
            <w:pPr>
              <w:spacing w:after="0"/>
            </w:pPr>
            <w:r>
              <w:t xml:space="preserve">3</w:t>
            </w:r>
          </w:p>
        </w:tc>
        <w:tc>
          <w:tcPr>
            <w:tcW w:w="2340" w:type="dxa"/>
          </w:tcPr>
          <w:p>
            <w:pPr>
              <w:spacing w:after="0"/>
            </w:pPr>
            <w:r>
              <w:t xml:space="preserve">Freeze JRS v1.0</w:t>
            </w:r>
          </w:p>
        </w:tc>
        <w:tc>
          <w:tcPr>
            <w:tcW w:w="2340" w:type="dxa"/>
          </w:tcPr>
          <w:p>
            <w:pPr>
              <w:spacing w:after="0"/>
            </w:pPr>
            <w:r>
              <w:t xml:space="preserve">an afternoon</w:t>
            </w:r>
          </w:p>
        </w:tc>
        <w:tc>
          <w:tcPr>
            <w:tcW w:w="2340" w:type="dxa"/>
          </w:tcPr>
          <w:p>
            <w:pPr>
              <w:spacing w:after="0"/>
            </w:pPr>
            <w:r>
              <w:t xml:space="preserve">Makes the standard citable and licensable</w:t>
            </w:r>
          </w:p>
        </w:tc>
      </w:tr>
      <w:tr>
        <w:tc>
          <w:tcPr>
            <w:tcW w:w="2340" w:type="dxa"/>
          </w:tcPr>
          <w:p>
            <w:pPr>
              <w:spacing w:after="0"/>
            </w:pPr>
            <w:r>
              <w:t xml:space="preserve">4</w:t>
            </w:r>
          </w:p>
        </w:tc>
        <w:tc>
          <w:tcPr>
            <w:tcW w:w="2340" w:type="dxa"/>
          </w:tcPr>
          <w:p>
            <w:pPr>
              <w:spacing w:after="0"/>
            </w:pPr>
            <w:r>
              <w:t xml:space="preserve">One third-party adoption</w:t>
            </w:r>
          </w:p>
        </w:tc>
        <w:tc>
          <w:tcPr>
            <w:tcW w:w="2340" w:type="dxa"/>
          </w:tcPr>
          <w:p>
            <w:pPr>
              <w:spacing w:after="0"/>
            </w:pPr>
            <w:r>
              <w:t xml:space="preserve">weeks, mostly waiting</w:t>
            </w:r>
          </w:p>
        </w:tc>
        <w:tc>
          <w:tcPr>
            <w:tcW w:w="2340" w:type="dxa"/>
          </w:tcPr>
          <w:p>
            <w:pPr>
              <w:spacing w:after="0"/>
            </w:pPr>
            <w:r>
              <w:t xml:space="preserve">Converts authorship into evidence of use</w:t>
            </w:r>
          </w:p>
        </w:tc>
      </w:tr>
      <w:tr>
        <w:tc>
          <w:tcPr>
            <w:tcW w:w="2340" w:type="dxa"/>
          </w:tcPr>
          <w:p>
            <w:pPr>
              <w:spacing w:after="0"/>
            </w:pPr>
            <w:r>
              <w:t xml:space="preserve">5</w:t>
            </w:r>
          </w:p>
        </w:tc>
        <w:tc>
          <w:tcPr>
            <w:tcW w:w="2340" w:type="dxa"/>
          </w:tcPr>
          <w:p>
            <w:pPr>
              <w:spacing w:after="0"/>
            </w:pPr>
            <w:r>
              <w:t xml:space="preserve">Trade-secret documentation</w:t>
            </w:r>
          </w:p>
        </w:tc>
        <w:tc>
          <w:tcPr>
            <w:tcW w:w="2340" w:type="dxa"/>
          </w:tcPr>
          <w:p>
            <w:pPr>
              <w:spacing w:after="0"/>
            </w:pPr>
            <w:r>
              <w:t xml:space="preserve">half a day</w:t>
            </w:r>
          </w:p>
        </w:tc>
        <w:tc>
          <w:tcPr>
            <w:tcW w:w="2340" w:type="dxa"/>
          </w:tcPr>
          <w:p>
            <w:pPr>
              <w:spacing w:after="0"/>
            </w:pPr>
            <w:r>
              <w:t xml:space="preserve">Turns the gold key into a named asset</w:t>
            </w:r>
          </w:p>
        </w:tc>
      </w:tr>
      <w:tr>
        <w:tc>
          <w:tcPr>
            <w:tcW w:w="2340" w:type="dxa"/>
          </w:tcPr>
          <w:p>
            <w:pPr>
              <w:spacing w:after="0"/>
            </w:pPr>
            <w:r>
              <w:t xml:space="preserve">6</w:t>
            </w:r>
          </w:p>
        </w:tc>
        <w:tc>
          <w:tcPr>
            <w:tcW w:w="2340" w:type="dxa"/>
          </w:tcPr>
          <w:p>
            <w:pPr>
              <w:spacing w:after="0"/>
            </w:pPr>
            <w:r>
              <w:t xml:space="preserve">Reproducibility pack</w:t>
            </w:r>
          </w:p>
        </w:tc>
        <w:tc>
          <w:tcPr>
            <w:tcW w:w="2340" w:type="dxa"/>
          </w:tcPr>
          <w:p>
            <w:pPr>
              <w:spacing w:after="0"/>
            </w:pPr>
            <w:r>
              <w:t xml:space="preserve">1 to 2 days</w:t>
            </w:r>
          </w:p>
        </w:tc>
        <w:tc>
          <w:tcPr>
            <w:tcW w:w="2340" w:type="dxa"/>
          </w:tcPr>
          <w:p>
            <w:pPr>
              <w:spacing w:after="0"/>
            </w:pPr>
            <w:r>
              <w:t xml:space="preserve">Converts claims into verified results</w:t>
            </w:r>
          </w:p>
        </w:tc>
      </w:tr>
      <w:tr>
        <w:tc>
          <w:tcPr>
            <w:tcW w:w="2340" w:type="dxa"/>
          </w:tcPr>
          <w:p>
            <w:pPr>
              <w:spacing w:after="0"/>
            </w:pPr>
            <w:r>
              <w:t xml:space="preserve">7</w:t>
            </w:r>
          </w:p>
        </w:tc>
        <w:tc>
          <w:tcPr>
            <w:tcW w:w="2340" w:type="dxa"/>
          </w:tcPr>
          <w:p>
            <w:pPr>
              <w:spacing w:after="0"/>
            </w:pPr>
            <w:r>
              <w:t xml:space="preserve">Panel write-up</w:t>
            </w:r>
          </w:p>
        </w:tc>
        <w:tc>
          <w:tcPr>
            <w:tcW w:w="2340" w:type="dxa"/>
          </w:tcPr>
          <w:p>
            <w:pPr>
              <w:spacing w:after="0"/>
            </w:pPr>
            <w:r>
              <w:t xml:space="preserve">a day</w:t>
            </w:r>
          </w:p>
        </w:tc>
        <w:tc>
          <w:tcPr>
            <w:tcW w:w="2340" w:type="dxa"/>
          </w:tcPr>
          <w:p>
            <w:pPr>
              <w:spacing w:after="0"/>
            </w:pPr>
            <w:r>
              <w:t xml:space="preserve">Prices an asset a buyer would otherwise miss</w:t>
            </w:r>
          </w:p>
        </w:tc>
      </w:tr>
    </w:tbl>
    <w:p>
      <w:pPr/>
      <w:r>
        <w:t/>
      </w:r>
    </w:p>
    <w:p>
      <w:pPr>
        <w:spacing w:after="140"/>
      </w:pPr>
      <w:r>
        <w:rPr>
          <w:b/>
        </w:rPr>
        <w:t xml:space="preserve">Trademark filings sit below all seven of these</w:t>
      </w:r>
      <w:r>
        <w:t xml:space="preserve">, which is the practical version of the answer to your first question.</w:t>
      </w:r>
    </w:p>
    <w:p>
      <w:pPr>
        <w:pBdr>
          <w:bottom w:val="single" w:sz="6" w:space="1" w:color="AAAAAA"/>
        </w:pBdr>
      </w:pPr>
    </w:p>
    <w:p>
      <w:pPr>
        <w:pStyle w:val="Heading2"/>
        <w:spacing w:after="140"/>
      </w:pPr>
      <w:r>
        <w:t xml:space="preserve">Outstanding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Status</w:t>
            </w:r>
          </w:p>
        </w:tc>
      </w:tr>
      <w:tr>
        <w:tc>
          <w:tcPr>
            <w:tcW w:w="4680" w:type="dxa"/>
          </w:tcPr>
          <w:p>
            <w:pPr>
              <w:spacing w:after="0"/>
            </w:pPr>
            <w:r>
              <w:t xml:space="preserve">Quarterly USPTO check for JRS / DRR in Class 042</w:t>
            </w:r>
          </w:p>
        </w:tc>
        <w:tc>
          <w:tcPr>
            <w:tcW w:w="4680" w:type="dxa"/>
          </w:tcPr>
          <w:p>
            <w:pPr>
              <w:spacing w:after="0"/>
            </w:pPr>
            <w:r>
              <w:rPr>
                <w:b/>
              </w:rPr>
              <w:t xml:space="preserve">`[REQUIRES USER INPUT]`</w:t>
            </w:r>
            <w:r>
              <w:t xml:space="preserve">: your call whether to set the reminder</w:t>
            </w:r>
          </w:p>
        </w:tc>
      </w:tr>
      <w:tr>
        <w:tc>
          <w:tcPr>
            <w:tcW w:w="4680" w:type="dxa"/>
          </w:tcPr>
          <w:p>
            <w:pPr>
              <w:spacing w:after="0"/>
            </w:pPr>
            <w:r>
              <w:t xml:space="preserve">Names on the co-author assignments</w:t>
            </w:r>
          </w:p>
        </w:tc>
        <w:tc>
          <w:tcPr>
            <w:tcW w:w="4680" w:type="dxa"/>
          </w:tcPr>
          <w:p>
            <w:pPr>
              <w:spacing w:after="0"/>
            </w:pPr>
            <w:r>
              <w:rPr>
                <w:b/>
              </w:rPr>
              <w:t xml:space="preserve">`[REQUIRES USER INPUT]`</w:t>
            </w:r>
            <w:r>
              <w:t xml:space="preserve">: not held in this repository</w:t>
            </w:r>
          </w:p>
        </w:tc>
      </w:tr>
      <w:tr>
        <w:tc>
          <w:tcPr>
            <w:tcW w:w="4680" w:type="dxa"/>
          </w:tcPr>
          <w:p>
            <w:pPr>
              <w:spacing w:after="0"/>
            </w:pPr>
            <w:r>
              <w:t xml:space="preserve">Whether the comparison study is closed, which gates publishing the panel roster</w:t>
            </w:r>
          </w:p>
        </w:tc>
        <w:tc>
          <w:tcPr>
            <w:tcW w:w="4680" w:type="dxa"/>
          </w:tcPr>
          <w:p>
            <w:pPr>
              <w:spacing w:after="0"/>
            </w:pPr>
            <w:r>
              <w:rPr>
                <w:b/>
              </w:rPr>
              <w:t xml:space="preserve">`[REQUIRES USER INPUT]`</w:t>
            </w:r>
          </w:p>
        </w:tc>
      </w:tr>
    </w:tbl>
    <w:p>
      <w:pPr/>
      <w:r>
        <w:t/>
      </w:r>
    </w:p>
    <w:p>
      <w:pPr>
        <w:spacing w:after="140"/>
      </w:pPr>
      <w:r>
        <w:t xml:space="preserve">Filing procedure, if and when a trigger fires, is in </w:t>
      </w:r>
      <w:r>
        <w:rPr>
          <w:rFonts w:ascii="Consolas" w:hAnsi="Consolas"/>
        </w:rPr>
        <w:t xml:space="preserve">research/TRADEMARK_FILING_STEPS_JRS_DRR.md</w:t>
      </w:r>
      <w:r>
        <w:t xml:space="preserve">. The cost-benefit is in </w:t>
      </w:r>
      <w:r>
        <w:rPr>
          <w:rFonts w:ascii="Consolas" w:hAnsi="Consolas"/>
        </w:rPr>
        <w:t xml:space="preserve">research/TRADEMARK_COST_BENEFIT_2026-08-12.md</w:t>
      </w:r>
      <w:r>
        <w:t xml:space="preserve">, and </w:t>
      </w:r>
      <w:r>
        <w:rPr>
          <w:b/>
        </w:rPr>
        <w:t xml:space="preserve">its "file now" recommendation is superseded by the trigger rule above.</w:t>
      </w:r>
    </w:p>
    <w:p>
      <w:pPr>
        <w:spacing w:after="140"/>
      </w:pPr>
      <w:r>
        <w:rPr>
          <w:i/>
        </w:rPr>
        <w:t xml:space="preserve">Commercial analysis, not legal advice. Chain of title and the assignment wording are the two places worth paying an attorney.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