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Monetization Roadmap</w:t>
      </w:r>
    </w:p>
    <w:p>
      <w:pPr>
        <w:spacing w:after="140"/>
      </w:pPr>
      <w:r>
        <w:rPr>
          <w:b/>
        </w:rPr>
        <w:t xml:space="preserve">Date:</w:t>
      </w:r>
      <w:r>
        <w:t xml:space="preserve"> 2026-08-25 </w:t>
      </w:r>
      <w:r>
        <w:rPr>
          <w:b/>
        </w:rPr>
        <w:t xml:space="preserve">Scope:</w:t>
      </w:r>
      <w:r>
        <w:t xml:space="preserve"> revenue readiness, monetization bottlenecks, and the fastest safe path to a first payment. </w:t>
      </w:r>
      <w:r>
        <w:rPr>
          <w:b/>
        </w:rPr>
        <w:t xml:space="preserve">Method:</w:t>
      </w:r>
      <w:r>
        <w:t xml:space="preserve"> live repository plus live </w:t>
      </w:r>
      <w:r>
        <w:rPr>
          <w:rFonts w:ascii="Consolas" w:hAnsi="Consolas"/>
        </w:rPr>
        <w:t xml:space="preserve">interaction_events</w:t>
      </w:r>
      <w:r>
        <w:t xml:space="preserve"> telemetry. Every figure below is a query result or a file and line reference, not an estimate.</w:t>
      </w:r>
    </w:p>
    <w:p>
      <w:pPr>
        <w:pBdr>
          <w:bottom w:val="single" w:sz="6" w:space="1" w:color="AAAAAA"/>
        </w:pBdr>
      </w:pPr>
    </w:p>
    <w:p>
      <w:pPr>
        <w:pStyle w:val="Heading2"/>
        <w:spacing w:after="140"/>
      </w:pPr>
      <w:r>
        <w:t xml:space="preserve">CORRECTION TO MY OWN PRIOR REPORTING, STATED FIRST</w:t>
      </w:r>
    </w:p>
    <w:p>
      <w:pPr>
        <w:spacing w:after="140"/>
      </w:pPr>
      <w:r>
        <w:t xml:space="preserve">The feasibility audit filed yesterday (</w:t>
      </w:r>
      <w:r>
        <w:rPr>
          <w:rFonts w:ascii="Consolas" w:hAnsi="Consolas"/>
        </w:rPr>
        <w:t xml:space="preserve">research/COMMERCIAL_PLAN_FEASIBILITY_AUDIT_2026-08-24.md</w:t>
      </w:r>
      <w:r>
        <w:t xml:space="preserve">) said </w:t>
      </w:r>
      <w:r>
        <w:rPr>
          <w:b/>
        </w:rPr>
        <w:t xml:space="preserve">two</w:t>
      </w:r>
      <w:r>
        <w:t xml:space="preserve"> buyers had reached the pay screen and been turned away. That number was carried forward from an older figure and was never re-queried.</w:t>
      </w:r>
    </w:p>
    <w:p>
      <w:pPr>
        <w:spacing w:after="140"/>
      </w:pPr>
      <w:r>
        <w:rPr>
          <w:b/>
        </w:rPr>
        <w:t xml:space="preserve">The live count is 13.</w:t>
      </w:r>
    </w:p>
    <w:p>
      <w:pPr>
        <w:spacing w:after="140"/>
      </w:pPr>
      <w:r>
        <w:t xml:space="preserve">Every one of the 13 is in </w:t>
      </w:r>
      <w:r>
        <w:rPr>
          <w:rFonts w:ascii="Consolas" w:hAnsi="Consolas"/>
        </w:rPr>
        <w:t xml:space="preserve">state: unconfigured</w:t>
      </w:r>
      <w:r>
        <w:t xml:space="preserve">. </w:t>
      </w:r>
      <w:r>
        <w:rPr>
          <w:b/>
        </w:rPr>
        <w:t xml:space="preserve">Not one has ever been redirected to a payment page, because no payment page exists.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Date</w:t>
            </w:r>
          </w:p>
        </w:tc>
        <w:tc>
          <w:tcPr>
            <w:tcW w:w="1872" w:type="dxa"/>
          </w:tcPr>
          <w:p>
            <w:pPr>
              <w:spacing w:after="0"/>
            </w:pPr>
            <w:r>
              <w:t xml:space="preserve">Offer</w:t>
            </w:r>
          </w:p>
        </w:tc>
        <w:tc>
          <w:tcPr>
            <w:tcW w:w="1872" w:type="dxa"/>
          </w:tcPr>
          <w:p>
            <w:pPr>
              <w:spacing w:after="0"/>
            </w:pPr>
            <w:r>
              <w:t xml:space="preserve">Price</w:t>
            </w:r>
          </w:p>
        </w:tc>
        <w:tc>
          <w:tcPr>
            <w:tcW w:w="1872" w:type="dxa"/>
          </w:tcPr>
          <w:p>
            <w:pPr>
              <w:spacing w:after="0"/>
            </w:pPr>
            <w:r>
              <w:t xml:space="preserve">Source page</w:t>
            </w:r>
          </w:p>
        </w:tc>
        <w:tc>
          <w:tcPr>
            <w:tcW w:w="1872" w:type="dxa"/>
          </w:tcPr>
          <w:p>
            <w:pPr>
              <w:spacing w:after="0"/>
            </w:pPr>
            <w:r>
              <w:t xml:space="preserve">Country</w:t>
            </w:r>
          </w:p>
        </w:tc>
      </w:tr>
      <w:tr>
        <w:tc>
          <w:tcPr>
            <w:tcW w:w="1872" w:type="dxa"/>
          </w:tcPr>
          <w:p>
            <w:pPr>
              <w:spacing w:after="0"/>
            </w:pPr>
            <w:r>
              <w:t xml:space="preserve">2026-08-14</w:t>
            </w:r>
          </w:p>
        </w:tc>
        <w:tc>
          <w:tcPr>
            <w:tcW w:w="1872" w:type="dxa"/>
          </w:tcPr>
          <w:p>
            <w:pPr>
              <w:spacing w:after="0"/>
            </w:pPr>
            <w:r>
              <w:t xml:space="preserve">calibration</w:t>
            </w:r>
          </w:p>
        </w:tc>
        <w:tc>
          <w:tcPr>
            <w:tcW w:w="1872" w:type="dxa"/>
          </w:tcPr>
          <w:p>
            <w:pPr>
              <w:spacing w:after="0"/>
            </w:pPr>
            <w:r>
              <w:t xml:space="preserve">$750</w:t>
            </w:r>
          </w:p>
        </w:tc>
        <w:tc>
          <w:tcPr>
            <w:tcW w:w="1872" w:type="dxa"/>
          </w:tcPr>
          <w:p>
            <w:pPr>
              <w:spacing w:after="0"/>
            </w:pPr>
            <w:r>
              <w:t xml:space="preserve">calibration-request</w:t>
            </w:r>
          </w:p>
        </w:tc>
        <w:tc>
          <w:tcPr>
            <w:tcW w:w="1872" w:type="dxa"/>
          </w:tcPr>
          <w:p>
            <w:pPr>
              <w:spacing w:after="0"/>
            </w:pPr>
            <w:r>
              <w:t xml:space="preserve">US</w:t>
            </w:r>
          </w:p>
        </w:tc>
      </w:tr>
      <w:tr>
        <w:tc>
          <w:tcPr>
            <w:tcW w:w="1872" w:type="dxa"/>
          </w:tcPr>
          <w:p>
            <w:pPr>
              <w:spacing w:after="0"/>
            </w:pPr>
            <w:r>
              <w:t xml:space="preserve">2026-08-14</w:t>
            </w:r>
          </w:p>
        </w:tc>
        <w:tc>
          <w:tcPr>
            <w:tcW w:w="1872" w:type="dxa"/>
          </w:tcPr>
          <w:p>
            <w:pPr>
              <w:spacing w:after="0"/>
            </w:pPr>
            <w:r>
              <w:t xml:space="preserve">audit</w:t>
            </w:r>
          </w:p>
        </w:tc>
        <w:tc>
          <w:tcPr>
            <w:tcW w:w="1872" w:type="dxa"/>
          </w:tcPr>
          <w:p>
            <w:pPr>
              <w:spacing w:after="0"/>
            </w:pPr>
            <w:r>
              <w:t xml:space="preserve">$250</w:t>
            </w:r>
          </w:p>
        </w:tc>
        <w:tc>
          <w:tcPr>
            <w:tcW w:w="1872" w:type="dxa"/>
          </w:tcPr>
          <w:p>
            <w:pPr>
              <w:spacing w:after="0"/>
            </w:pPr>
            <w:r>
              <w:t xml:space="preserve">audit-request</w:t>
            </w:r>
          </w:p>
        </w:tc>
        <w:tc>
          <w:tcPr>
            <w:tcW w:w="1872" w:type="dxa"/>
          </w:tcPr>
          <w:p>
            <w:pPr>
              <w:spacing w:after="0"/>
            </w:pPr>
            <w:r>
              <w:t xml:space="preserve">US</w:t>
            </w:r>
          </w:p>
        </w:tc>
      </w:tr>
      <w:tr>
        <w:tc>
          <w:tcPr>
            <w:tcW w:w="1872" w:type="dxa"/>
          </w:tcPr>
          <w:p>
            <w:pPr>
              <w:spacing w:after="0"/>
            </w:pPr>
            <w:r>
              <w:t xml:space="preserve">2026-08-14</w:t>
            </w:r>
          </w:p>
        </w:tc>
        <w:tc>
          <w:tcPr>
            <w:tcW w:w="1872" w:type="dxa"/>
          </w:tcPr>
          <w:p>
            <w:pPr>
              <w:spacing w:after="0"/>
            </w:pPr>
            <w:r>
              <w:t xml:space="preserve">governance</w:t>
            </w:r>
          </w:p>
        </w:tc>
        <w:tc>
          <w:tcPr>
            <w:tcW w:w="1872" w:type="dxa"/>
          </w:tcPr>
          <w:p>
            <w:pPr>
              <w:spacing w:after="0"/>
            </w:pPr>
            <w:r>
              <w:t xml:space="preserve">$500</w:t>
            </w:r>
          </w:p>
        </w:tc>
        <w:tc>
          <w:tcPr>
            <w:tcW w:w="1872" w:type="dxa"/>
          </w:tcPr>
          <w:p>
            <w:pPr>
              <w:spacing w:after="0"/>
            </w:pPr>
            <w:r>
              <w:t xml:space="preserve">governance-request</w:t>
            </w:r>
          </w:p>
        </w:tc>
        <w:tc>
          <w:tcPr>
            <w:tcW w:w="1872" w:type="dxa"/>
          </w:tcPr>
          <w:p>
            <w:pPr>
              <w:spacing w:after="0"/>
            </w:pPr>
            <w:r>
              <w:t xml:space="preserve">US</w:t>
            </w:r>
          </w:p>
        </w:tc>
      </w:tr>
      <w:tr>
        <w:tc>
          <w:tcPr>
            <w:tcW w:w="1872" w:type="dxa"/>
          </w:tcPr>
          <w:p>
            <w:pPr>
              <w:spacing w:after="0"/>
            </w:pPr>
            <w:r>
              <w:t xml:space="preserve">2026-08-14</w:t>
            </w:r>
          </w:p>
        </w:tc>
        <w:tc>
          <w:tcPr>
            <w:tcW w:w="1872" w:type="dxa"/>
          </w:tcPr>
          <w:p>
            <w:pPr>
              <w:spacing w:after="0"/>
            </w:pPr>
            <w:r>
              <w:t xml:space="preserve">governance</w:t>
            </w:r>
          </w:p>
        </w:tc>
        <w:tc>
          <w:tcPr>
            <w:tcW w:w="1872" w:type="dxa"/>
          </w:tcPr>
          <w:p>
            <w:pPr>
              <w:spacing w:after="0"/>
            </w:pPr>
            <w:r>
              <w:t xml:space="preserve">$500</w:t>
            </w:r>
          </w:p>
        </w:tc>
        <w:tc>
          <w:tcPr>
            <w:tcW w:w="1872" w:type="dxa"/>
          </w:tcPr>
          <w:p>
            <w:pPr>
              <w:spacing w:after="0"/>
            </w:pPr>
            <w:r>
              <w:t xml:space="preserve">governance-request</w:t>
            </w:r>
          </w:p>
        </w:tc>
        <w:tc>
          <w:tcPr>
            <w:tcW w:w="1872" w:type="dxa"/>
          </w:tcPr>
          <w:p>
            <w:pPr>
              <w:spacing w:after="0"/>
            </w:pPr>
            <w:r>
              <w:t xml:space="preserve">DE</w:t>
            </w:r>
          </w:p>
        </w:tc>
      </w:tr>
      <w:tr>
        <w:tc>
          <w:tcPr>
            <w:tcW w:w="1872" w:type="dxa"/>
          </w:tcPr>
          <w:p>
            <w:pPr>
              <w:spacing w:after="0"/>
            </w:pPr>
            <w:r>
              <w:t xml:space="preserve">2026-08-15</w:t>
            </w:r>
          </w:p>
        </w:tc>
        <w:tc>
          <w:tcPr>
            <w:tcW w:w="1872" w:type="dxa"/>
          </w:tcPr>
          <w:p>
            <w:pPr>
              <w:spacing w:after="0"/>
            </w:pPr>
            <w:r>
              <w:t xml:space="preserve">audit</w:t>
            </w:r>
          </w:p>
        </w:tc>
        <w:tc>
          <w:tcPr>
            <w:tcW w:w="1872" w:type="dxa"/>
          </w:tcPr>
          <w:p>
            <w:pPr>
              <w:spacing w:after="0"/>
            </w:pPr>
            <w:r>
              <w:t xml:space="preserve">$250</w:t>
            </w:r>
          </w:p>
        </w:tc>
        <w:tc>
          <w:tcPr>
            <w:tcW w:w="1872" w:type="dxa"/>
          </w:tcPr>
          <w:p>
            <w:pPr>
              <w:spacing w:after="0"/>
            </w:pPr>
            <w:r>
              <w:t xml:space="preserve">audit-request</w:t>
            </w:r>
          </w:p>
        </w:tc>
        <w:tc>
          <w:tcPr>
            <w:tcW w:w="1872" w:type="dxa"/>
          </w:tcPr>
          <w:p>
            <w:pPr>
              <w:spacing w:after="0"/>
            </w:pPr>
            <w:r>
              <w:t xml:space="preserve">FR</w:t>
            </w:r>
          </w:p>
        </w:tc>
      </w:tr>
      <w:tr>
        <w:tc>
          <w:tcPr>
            <w:tcW w:w="1872" w:type="dxa"/>
          </w:tcPr>
          <w:p>
            <w:pPr>
              <w:spacing w:after="0"/>
            </w:pPr>
            <w:r>
              <w:t xml:space="preserve">2026-08-15</w:t>
            </w:r>
          </w:p>
        </w:tc>
        <w:tc>
          <w:tcPr>
            <w:tcW w:w="1872" w:type="dxa"/>
          </w:tcPr>
          <w:p>
            <w:pPr>
              <w:spacing w:after="0"/>
            </w:pPr>
            <w:r>
              <w:t xml:space="preserve">calibration</w:t>
            </w:r>
          </w:p>
        </w:tc>
        <w:tc>
          <w:tcPr>
            <w:tcW w:w="1872" w:type="dxa"/>
          </w:tcPr>
          <w:p>
            <w:pPr>
              <w:spacing w:after="0"/>
            </w:pPr>
            <w:r>
              <w:t xml:space="preserve">$750</w:t>
            </w:r>
          </w:p>
        </w:tc>
        <w:tc>
          <w:tcPr>
            <w:tcW w:w="1872" w:type="dxa"/>
          </w:tcPr>
          <w:p>
            <w:pPr>
              <w:spacing w:after="0"/>
            </w:pPr>
            <w:r>
              <w:t xml:space="preserve">calibration-request</w:t>
            </w:r>
          </w:p>
        </w:tc>
        <w:tc>
          <w:tcPr>
            <w:tcW w:w="1872" w:type="dxa"/>
          </w:tcPr>
          <w:p>
            <w:pPr>
              <w:spacing w:after="0"/>
            </w:pPr>
            <w:r>
              <w:t xml:space="preserve">DE</w:t>
            </w:r>
          </w:p>
        </w:tc>
      </w:tr>
      <w:tr>
        <w:tc>
          <w:tcPr>
            <w:tcW w:w="1872" w:type="dxa"/>
          </w:tcPr>
          <w:p>
            <w:pPr>
              <w:spacing w:after="0"/>
            </w:pPr>
            <w:r>
              <w:t xml:space="preserve">2026-08-15</w:t>
            </w:r>
          </w:p>
        </w:tc>
        <w:tc>
          <w:tcPr>
            <w:tcW w:w="1872" w:type="dxa"/>
          </w:tcPr>
          <w:p>
            <w:pPr>
              <w:spacing w:after="0"/>
            </w:pPr>
            <w:r>
              <w:t xml:space="preserve">governance</w:t>
            </w:r>
          </w:p>
        </w:tc>
        <w:tc>
          <w:tcPr>
            <w:tcW w:w="1872" w:type="dxa"/>
          </w:tcPr>
          <w:p>
            <w:pPr>
              <w:spacing w:after="0"/>
            </w:pPr>
            <w:r>
              <w:t xml:space="preserve">$500</w:t>
            </w:r>
          </w:p>
        </w:tc>
        <w:tc>
          <w:tcPr>
            <w:tcW w:w="1872" w:type="dxa"/>
          </w:tcPr>
          <w:p>
            <w:pPr>
              <w:spacing w:after="0"/>
            </w:pPr>
            <w:r>
              <w:t xml:space="preserve">governance-request</w:t>
            </w:r>
          </w:p>
        </w:tc>
        <w:tc>
          <w:tcPr>
            <w:tcW w:w="1872" w:type="dxa"/>
          </w:tcPr>
          <w:p>
            <w:pPr>
              <w:spacing w:after="0"/>
            </w:pPr>
            <w:r>
              <w:t xml:space="preserve">DE</w:t>
            </w:r>
          </w:p>
        </w:tc>
      </w:tr>
      <w:tr>
        <w:tc>
          <w:tcPr>
            <w:tcW w:w="1872" w:type="dxa"/>
          </w:tcPr>
          <w:p>
            <w:pPr>
              <w:spacing w:after="0"/>
            </w:pPr>
            <w:r>
              <w:t xml:space="preserve">2026-08-17</w:t>
            </w:r>
          </w:p>
        </w:tc>
        <w:tc>
          <w:tcPr>
            <w:tcW w:w="1872" w:type="dxa"/>
          </w:tcPr>
          <w:p>
            <w:pPr>
              <w:spacing w:after="0"/>
            </w:pPr>
            <w:r>
              <w:t xml:space="preserve">audit</w:t>
            </w:r>
          </w:p>
        </w:tc>
        <w:tc>
          <w:tcPr>
            <w:tcW w:w="1872" w:type="dxa"/>
          </w:tcPr>
          <w:p>
            <w:pPr>
              <w:spacing w:after="0"/>
            </w:pPr>
            <w:r>
              <w:t xml:space="preserve">$250</w:t>
            </w:r>
          </w:p>
        </w:tc>
        <w:tc>
          <w:tcPr>
            <w:tcW w:w="1872" w:type="dxa"/>
          </w:tcPr>
          <w:p>
            <w:pPr>
              <w:spacing w:after="0"/>
            </w:pPr>
            <w:r>
              <w:t xml:space="preserve">audit-request</w:t>
            </w:r>
          </w:p>
        </w:tc>
        <w:tc>
          <w:tcPr>
            <w:tcW w:w="1872" w:type="dxa"/>
          </w:tcPr>
          <w:p>
            <w:pPr>
              <w:spacing w:after="0"/>
            </w:pPr>
            <w:r>
              <w:t xml:space="preserve">US</w:t>
            </w:r>
          </w:p>
        </w:tc>
      </w:tr>
      <w:tr>
        <w:tc>
          <w:tcPr>
            <w:tcW w:w="1872" w:type="dxa"/>
          </w:tcPr>
          <w:p>
            <w:pPr>
              <w:spacing w:after="0"/>
            </w:pPr>
            <w:r>
              <w:t xml:space="preserve">2026-08-17</w:t>
            </w:r>
          </w:p>
        </w:tc>
        <w:tc>
          <w:tcPr>
            <w:tcW w:w="1872" w:type="dxa"/>
          </w:tcPr>
          <w:p>
            <w:pPr>
              <w:spacing w:after="0"/>
            </w:pPr>
            <w:r>
              <w:t xml:space="preserve">calibration</w:t>
            </w:r>
          </w:p>
        </w:tc>
        <w:tc>
          <w:tcPr>
            <w:tcW w:w="1872" w:type="dxa"/>
          </w:tcPr>
          <w:p>
            <w:pPr>
              <w:spacing w:after="0"/>
            </w:pPr>
            <w:r>
              <w:t xml:space="preserve">$750</w:t>
            </w:r>
          </w:p>
        </w:tc>
        <w:tc>
          <w:tcPr>
            <w:tcW w:w="1872" w:type="dxa"/>
          </w:tcPr>
          <w:p>
            <w:pPr>
              <w:spacing w:after="0"/>
            </w:pPr>
            <w:r>
              <w:t xml:space="preserve">calibration-request</w:t>
            </w:r>
          </w:p>
        </w:tc>
        <w:tc>
          <w:tcPr>
            <w:tcW w:w="1872" w:type="dxa"/>
          </w:tcPr>
          <w:p>
            <w:pPr>
              <w:spacing w:after="0"/>
            </w:pPr>
            <w:r>
              <w:t xml:space="preserve">US</w:t>
            </w:r>
          </w:p>
        </w:tc>
      </w:tr>
      <w:tr>
        <w:tc>
          <w:tcPr>
            <w:tcW w:w="1872" w:type="dxa"/>
          </w:tcPr>
          <w:p>
            <w:pPr>
              <w:spacing w:after="0"/>
            </w:pPr>
            <w:r>
              <w:t xml:space="preserve">2026-08-18</w:t>
            </w:r>
          </w:p>
        </w:tc>
        <w:tc>
          <w:tcPr>
            <w:tcW w:w="1872" w:type="dxa"/>
          </w:tcPr>
          <w:p>
            <w:pPr>
              <w:spacing w:after="0"/>
            </w:pPr>
            <w:r>
              <w:t xml:space="preserve">governance</w:t>
            </w:r>
          </w:p>
        </w:tc>
        <w:tc>
          <w:tcPr>
            <w:tcW w:w="1872" w:type="dxa"/>
          </w:tcPr>
          <w:p>
            <w:pPr>
              <w:spacing w:after="0"/>
            </w:pPr>
            <w:r>
              <w:t xml:space="preserve">$500</w:t>
            </w:r>
          </w:p>
        </w:tc>
        <w:tc>
          <w:tcPr>
            <w:tcW w:w="1872" w:type="dxa"/>
          </w:tcPr>
          <w:p>
            <w:pPr>
              <w:spacing w:after="0"/>
            </w:pPr>
            <w:r>
              <w:t xml:space="preserve">governance-request</w:t>
            </w:r>
          </w:p>
        </w:tc>
        <w:tc>
          <w:tcPr>
            <w:tcW w:w="1872" w:type="dxa"/>
          </w:tcPr>
          <w:p>
            <w:pPr>
              <w:spacing w:after="0"/>
            </w:pPr>
            <w:r>
              <w:t xml:space="preserve">US</w:t>
            </w:r>
          </w:p>
        </w:tc>
      </w:tr>
      <w:tr>
        <w:tc>
          <w:tcPr>
            <w:tcW w:w="1872" w:type="dxa"/>
          </w:tcPr>
          <w:p>
            <w:pPr>
              <w:spacing w:after="0"/>
            </w:pPr>
            <w:r>
              <w:t xml:space="preserve">2026-08-21</w:t>
            </w:r>
          </w:p>
        </w:tc>
        <w:tc>
          <w:tcPr>
            <w:tcW w:w="1872" w:type="dxa"/>
          </w:tcPr>
          <w:p>
            <w:pPr>
              <w:spacing w:after="0"/>
            </w:pPr>
            <w:r>
              <w:t xml:space="preserve">audit</w:t>
            </w:r>
          </w:p>
        </w:tc>
        <w:tc>
          <w:tcPr>
            <w:tcW w:w="1872" w:type="dxa"/>
          </w:tcPr>
          <w:p>
            <w:pPr>
              <w:spacing w:after="0"/>
            </w:pPr>
            <w:r>
              <w:t xml:space="preserve">$250</w:t>
            </w:r>
          </w:p>
        </w:tc>
        <w:tc>
          <w:tcPr>
            <w:tcW w:w="1872" w:type="dxa"/>
          </w:tcPr>
          <w:p>
            <w:pPr>
              <w:spacing w:after="0"/>
            </w:pPr>
            <w:r>
              <w:t xml:space="preserve">audit-request</w:t>
            </w:r>
          </w:p>
        </w:tc>
        <w:tc>
          <w:tcPr>
            <w:tcW w:w="1872" w:type="dxa"/>
          </w:tcPr>
          <w:p>
            <w:pPr>
              <w:spacing w:after="0"/>
            </w:pPr>
            <w:r>
              <w:t xml:space="preserve">GB</w:t>
            </w:r>
          </w:p>
        </w:tc>
      </w:tr>
      <w:tr>
        <w:tc>
          <w:tcPr>
            <w:tcW w:w="1872" w:type="dxa"/>
          </w:tcPr>
          <w:p>
            <w:pPr>
              <w:spacing w:after="0"/>
            </w:pPr>
            <w:r>
              <w:t xml:space="preserve">2026-08-21</w:t>
            </w:r>
          </w:p>
        </w:tc>
        <w:tc>
          <w:tcPr>
            <w:tcW w:w="1872" w:type="dxa"/>
          </w:tcPr>
          <w:p>
            <w:pPr>
              <w:spacing w:after="0"/>
            </w:pPr>
            <w:r>
              <w:t xml:space="preserve">governance</w:t>
            </w:r>
          </w:p>
        </w:tc>
        <w:tc>
          <w:tcPr>
            <w:tcW w:w="1872" w:type="dxa"/>
          </w:tcPr>
          <w:p>
            <w:pPr>
              <w:spacing w:after="0"/>
            </w:pPr>
            <w:r>
              <w:t xml:space="preserve">$500</w:t>
            </w:r>
          </w:p>
        </w:tc>
        <w:tc>
          <w:tcPr>
            <w:tcW w:w="1872" w:type="dxa"/>
          </w:tcPr>
          <w:p>
            <w:pPr>
              <w:spacing w:after="0"/>
            </w:pPr>
            <w:r>
              <w:t xml:space="preserve">governance-request</w:t>
            </w:r>
          </w:p>
        </w:tc>
        <w:tc>
          <w:tcPr>
            <w:tcW w:w="1872" w:type="dxa"/>
          </w:tcPr>
          <w:p>
            <w:pPr>
              <w:spacing w:after="0"/>
            </w:pPr>
            <w:r>
              <w:t xml:space="preserve">GB</w:t>
            </w:r>
          </w:p>
        </w:tc>
      </w:tr>
      <w:tr>
        <w:tc>
          <w:tcPr>
            <w:tcW w:w="1872" w:type="dxa"/>
          </w:tcPr>
          <w:p>
            <w:pPr>
              <w:spacing w:after="0"/>
            </w:pPr>
            <w:r>
              <w:t xml:space="preserve">2026-08-21</w:t>
            </w:r>
          </w:p>
        </w:tc>
        <w:tc>
          <w:tcPr>
            <w:tcW w:w="1872" w:type="dxa"/>
          </w:tcPr>
          <w:p>
            <w:pPr>
              <w:spacing w:after="0"/>
            </w:pPr>
            <w:r>
              <w:t xml:space="preserve">calibration</w:t>
            </w:r>
          </w:p>
        </w:tc>
        <w:tc>
          <w:tcPr>
            <w:tcW w:w="1872" w:type="dxa"/>
          </w:tcPr>
          <w:p>
            <w:pPr>
              <w:spacing w:after="0"/>
            </w:pPr>
            <w:r>
              <w:t xml:space="preserve">$750</w:t>
            </w:r>
          </w:p>
        </w:tc>
        <w:tc>
          <w:tcPr>
            <w:tcW w:w="1872" w:type="dxa"/>
          </w:tcPr>
          <w:p>
            <w:pPr>
              <w:spacing w:after="0"/>
            </w:pPr>
            <w:r>
              <w:t xml:space="preserve">calibration-request</w:t>
            </w:r>
          </w:p>
        </w:tc>
        <w:tc>
          <w:tcPr>
            <w:tcW w:w="1872" w:type="dxa"/>
          </w:tcPr>
          <w:p>
            <w:pPr>
              <w:spacing w:after="0"/>
            </w:pPr>
            <w:r>
              <w:t xml:space="preserve">GB</w:t>
            </w:r>
          </w:p>
        </w:tc>
      </w:tr>
    </w:tbl>
    <w:p>
      <w:pPr/>
      <w:r>
        <w:t/>
      </w:r>
    </w:p>
    <w:p>
      <w:pPr>
        <w:spacing w:after="140"/>
      </w:pPr>
      <w:r>
        <w:rPr>
          <w:b/>
        </w:rPr>
        <w:t xml:space="preserve">Stated intent value: $6,500.</w:t>
      </w:r>
      <w:r>
        <w:t xml:space="preserve"> Governance 5, calibration 4, audit 4. Countries: US 6, DE 3, GB 3, FR 1. Activity spans </w:t>
      </w:r>
      <w:r>
        <w:rPr>
          <w:b/>
        </w:rPr>
        <w:t xml:space="preserve">eight days</w:t>
      </w:r>
      <w:r>
        <w:t xml:space="preserve">, 14 to 21 August.</w:t>
      </w:r>
    </w:p>
    <w:p>
      <w:pPr>
        <w:spacing w:after="140"/>
      </w:pPr>
      <w:r>
        <w:rPr>
          <w:b/>
        </w:rPr>
        <w:t xml:space="preserve">Read the 21 August row group carefully.</w:t>
      </w:r>
      <w:r>
        <w:t xml:space="preserve"> All three offers, same country, same day. That is the signature of one organisation pricing the entire ladder in a single sitting, which is what an enterprise evaluator does before opening an internal budget request. That is the single most valuable event in the dataset and nobody followed up, because nothing captured a name.</w:t>
      </w:r>
    </w:p>
    <w:p>
      <w:pPr>
        <w:spacing w:after="140"/>
      </w:pPr>
      <w:r>
        <w:t xml:space="preserve">This correction matters more than any recommendation in this document. The problem is not that the site cannot attract buyers. </w:t>
      </w:r>
      <w:r>
        <w:rPr>
          <w:b/>
        </w:rPr>
        <w:t xml:space="preserve">The site has already attracted buyers, in four countries, repeatedly, and turned every one of them away.</w:t>
      </w:r>
    </w:p>
    <w:p>
      <w:pPr>
        <w:pBdr>
          <w:bottom w:val="single" w:sz="6" w:space="1" w:color="AAAAAA"/>
        </w:pBdr>
      </w:pPr>
    </w:p>
    <w:p>
      <w:pPr>
        <w:pStyle w:val="Heading2"/>
        <w:spacing w:after="140"/>
      </w:pPr>
      <w:r>
        <w:t xml:space="preserve">1. Commercial readiness score</w:t>
      </w:r>
    </w:p>
    <w:p>
      <w:pPr>
        <w:spacing w:after="140"/>
      </w:pPr>
      <w:r>
        <w:rPr>
          <w:b/>
        </w:rPr>
        <w:t xml:space="preserve">7 / 10.</w:t>
      </w:r>
    </w:p>
    <w:p>
      <w:pPr>
        <w:spacing w:after="140"/>
      </w:pPr>
      <w:r>
        <w:t xml:space="preserve">Everything needed to take money is built and tested except the payment link itself, which cannot be created from inside this repository and takes about fifteen minutes to create outside it.</w:t>
      </w:r>
    </w:p>
    <w:p>
      <w:pPr>
        <w:spacing w:after="140"/>
      </w:pPr>
      <w:r>
        <w:t xml:space="preserve">The score is not higher because 13 documented buyers have already been lost, and because the current failure mode captures no contact detail, so those 13 cannot be recovered.</w:t>
      </w:r>
    </w:p>
    <w:p>
      <w:pPr>
        <w:pBdr>
          <w:bottom w:val="single" w:sz="6" w:space="1" w:color="AAAAAA"/>
        </w:pBdr>
      </w:pPr>
    </w:p>
    <w:p>
      <w:pPr>
        <w:pStyle w:val="Heading2"/>
        <w:spacing w:after="140"/>
      </w:pPr>
      <w:r>
        <w:t xml:space="preserve">2. Assets and infrastructure already built</w:t>
      </w:r>
    </w:p>
    <w:p>
      <w:pPr>
        <w:spacing w:after="140"/>
      </w:pPr>
      <w:r>
        <w:rPr>
          <w:b/>
        </w:rPr>
        <w:t xml:space="preserve">Pricing, as a single source of truth.</w:t>
      </w:r>
      <w:r>
        <w:t xml:space="preserve"> </w:t>
      </w:r>
      <w:r>
        <w:rPr>
          <w:rFonts w:ascii="Consolas" w:hAnsi="Consolas"/>
        </w:rPr>
        <w:t xml:space="preserve">api/_offer-config.js:20-44</w:t>
      </w:r>
      <w:r>
        <w:t xml:space="preserve"> declares three offers with name, slug, price, price label and scope: audit $250, governance $500, calibration $750. </w:t>
      </w:r>
      <w:r>
        <w:rPr>
          <w:rFonts w:ascii="Consolas" w:hAnsi="Consolas"/>
        </w:rPr>
        <w:t xml:space="preserve">FREE_TIER</w:t>
      </w:r>
      <w:r>
        <w:t xml:space="preserve"> at </w:t>
      </w:r>
      <w:r>
        <w:rPr>
          <w:rFonts w:ascii="Consolas" w:hAnsi="Consolas"/>
        </w:rPr>
        <w:t xml:space="preserve">:47-53</w:t>
      </w:r>
      <w:r>
        <w:t xml:space="preserve"> declares the ungated Seven-Point Check at </w:t>
      </w:r>
      <w:r>
        <w:rPr>
          <w:rFonts w:ascii="Consolas" w:hAnsi="Consolas"/>
        </w:rPr>
        <w:t xml:space="preserve">/check.html</w:t>
      </w:r>
      <w:r>
        <w:t xml:space="preserve">. </w:t>
      </w:r>
      <w:r>
        <w:rPr>
          <w:rFonts w:ascii="Consolas" w:hAnsi="Consolas"/>
        </w:rPr>
        <w:t xml:space="preserve">offerFor()</w:t>
      </w:r>
      <w:r>
        <w:t xml:space="preserve"> at </w:t>
      </w:r>
      <w:r>
        <w:rPr>
          <w:rFonts w:ascii="Consolas" w:hAnsi="Consolas"/>
        </w:rPr>
        <w:t xml:space="preserve">:59-61</w:t>
      </w:r>
      <w:r>
        <w:t xml:space="preserve"> and </w:t>
      </w:r>
      <w:r>
        <w:rPr>
          <w:rFonts w:ascii="Consolas" w:hAnsi="Consolas"/>
        </w:rPr>
        <w:t xml:space="preserve">isConfigured()</w:t>
      </w:r>
      <w:r>
        <w:t xml:space="preserve"> at </w:t>
      </w:r>
      <w:r>
        <w:rPr>
          <w:rFonts w:ascii="Consolas" w:hAnsi="Consolas"/>
        </w:rPr>
        <w:t xml:space="preserve">:63-66</w:t>
      </w:r>
      <w:r>
        <w:t xml:space="preserve"> are the only gates any surface needs. A price exists in exactly one place, which is the property that makes a price change safe.</w:t>
      </w:r>
    </w:p>
    <w:p>
      <w:pPr>
        <w:spacing w:after="140"/>
      </w:pPr>
      <w:r>
        <w:rPr>
          <w:b/>
        </w:rPr>
        <w:t xml:space="preserve">Checkout routing that fails safe.</w:t>
      </w:r>
      <w:r>
        <w:t xml:space="preserve"> </w:t>
      </w:r>
      <w:r>
        <w:rPr>
          <w:rFonts w:ascii="Consolas" w:hAnsi="Consolas"/>
        </w:rPr>
        <w:t xml:space="preserve">api/checkout.js</w:t>
      </w:r>
      <w:r>
        <w:t xml:space="preserve"> resolves </w:t>
      </w:r>
      <w:r>
        <w:rPr>
          <w:rFonts w:ascii="Consolas" w:hAnsi="Consolas"/>
        </w:rPr>
        <w:t xml:space="preserve">?o=&lt;offer&gt;</w:t>
      </w:r>
      <w:r>
        <w:t xml:space="preserve">, sanitises the key, honours a </w:t>
      </w:r>
      <w:r>
        <w:rPr>
          <w:rFonts w:ascii="Consolas" w:hAnsi="Consolas"/>
        </w:rPr>
        <w:t xml:space="preserve">src</w:t>
      </w:r>
      <w:r>
        <w:t xml:space="preserve"> attribution tag, filters prefetches through </w:t>
      </w:r>
      <w:r>
        <w:rPr>
          <w:rFonts w:ascii="Consolas" w:hAnsi="Consolas"/>
        </w:rPr>
        <w:t xml:space="preserve">isNotAClick()</w:t>
      </w:r>
      <w:r>
        <w:t xml:space="preserve">, and either redirects to the configured URL or serves a scoping-and-invoice page. It never invents a destination. The comment at </w:t>
      </w:r>
      <w:r>
        <w:rPr>
          <w:rFonts w:ascii="Consolas" w:hAnsi="Consolas"/>
        </w:rPr>
        <w:t xml:space="preserve">api/_offer-config.js:9-18</w:t>
      </w:r>
      <w:r>
        <w:t xml:space="preserve"> explains why, and the reasoning is correct: a guessed payment URL is "at worst money sent somewhere unintended."</w:t>
      </w:r>
    </w:p>
    <w:p>
      <w:pPr>
        <w:spacing w:after="140"/>
      </w:pPr>
      <w:r>
        <w:rPr>
          <w:b/>
        </w:rPr>
        <w:t xml:space="preserve">Purchase-intent telemetry, already writing.</w:t>
      </w:r>
      <w:r>
        <w:t xml:space="preserve"> Every click lands in </w:t>
      </w:r>
      <w:r>
        <w:rPr>
          <w:rFonts w:ascii="Consolas" w:hAnsi="Consolas"/>
        </w:rPr>
        <w:t xml:space="preserve">interaction_events</w:t>
      </w:r>
      <w:r>
        <w:t xml:space="preserve"> as </w:t>
      </w:r>
      <w:r>
        <w:rPr>
          <w:rFonts w:ascii="Consolas" w:hAnsi="Consolas"/>
        </w:rPr>
        <w:t xml:space="preserve">source='checkout-click'</w:t>
      </w:r>
      <w:r>
        <w:t xml:space="preserve"> with offer, state, source tag, country and user agent. This is why the 13 lost buyers are known at all. Owner check tags (</w:t>
      </w:r>
      <w:r>
        <w:rPr>
          <w:rFonts w:ascii="Consolas" w:hAnsi="Consolas"/>
        </w:rPr>
        <w:t xml:space="preserve">owner</w:t>
      </w:r>
      <w:r>
        <w:t xml:space="preserve">, </w:t>
      </w:r>
      <w:r>
        <w:rPr>
          <w:rFonts w:ascii="Consolas" w:hAnsi="Consolas"/>
        </w:rPr>
        <w:t xml:space="preserve">verify</w:t>
      </w:r>
      <w:r>
        <w:t xml:space="preserve">, </w:t>
      </w:r>
      <w:r>
        <w:rPr>
          <w:rFonts w:ascii="Consolas" w:hAnsi="Consolas"/>
        </w:rPr>
        <w:t xml:space="preserve">test</w:t>
      </w:r>
      <w:r>
        <w:t xml:space="preserve">, </w:t>
      </w:r>
      <w:r>
        <w:rPr>
          <w:rFonts w:ascii="Consolas" w:hAnsi="Consolas"/>
        </w:rPr>
        <w:t xml:space="preserve">selftest</w:t>
      </w:r>
      <w:r>
        <w:t xml:space="preserve">, </w:t>
      </w:r>
      <w:r>
        <w:rPr>
          <w:rFonts w:ascii="Consolas" w:hAnsi="Consolas"/>
        </w:rPr>
        <w:t xml:space="preserve">deploytest</w:t>
      </w:r>
      <w:r>
        <w:t xml:space="preserve">) are filtered out, so the 13 are real.</w:t>
      </w:r>
    </w:p>
    <w:p>
      <w:pPr>
        <w:spacing w:after="140"/>
      </w:pPr>
      <w:r>
        <w:rPr>
          <w:b/>
        </w:rPr>
        <w:t xml:space="preserve">PDF artifact delivery, complete.</w:t>
      </w:r>
      <w:r>
        <w:t xml:space="preserve"> </w:t>
      </w:r>
      <w:r>
        <w:rPr>
          <w:rFonts w:ascii="Consolas" w:hAnsi="Consolas"/>
        </w:rPr>
        <w:t xml:space="preserve">api/dl.js</w:t>
      </w:r>
      <w:r>
        <w:t xml:space="preserve"> serves the alias map including </w:t>
      </w:r>
      <w:r>
        <w:rPr>
          <w:rFonts w:ascii="Consolas" w:hAnsi="Consolas"/>
        </w:rPr>
        <w:t xml:space="preserve">JRS-Reference-9d4f2a7c.pdf</w:t>
      </w:r>
      <w:r>
        <w:t xml:space="preserve"> (2,308,034 bytes), labelled for analytics at </w:t>
      </w:r>
      <w:r>
        <w:rPr>
          <w:rFonts w:ascii="Consolas" w:hAnsi="Consolas"/>
        </w:rPr>
        <w:t xml:space="preserve">api/geo-stats.js:24</w:t>
      </w:r>
      <w:r>
        <w:t xml:space="preserve"> and linked from </w:t>
      </w:r>
      <w:r>
        <w:rPr>
          <w:rFonts w:ascii="Consolas" w:hAnsi="Consolas"/>
        </w:rPr>
        <w:t xml:space="preserve">training.html:1755</w:t>
      </w:r>
      <w:r>
        <w:t xml:space="preserve">, </w:t>
      </w:r>
      <w:r>
        <w:rPr>
          <w:rFonts w:ascii="Consolas" w:hAnsi="Consolas"/>
        </w:rPr>
        <w:t xml:space="preserve">:1797</w:t>
      </w:r>
      <w:r>
        <w:t xml:space="preserve"> and the kit table at </w:t>
      </w:r>
      <w:r>
        <w:rPr>
          <w:rFonts w:ascii="Consolas" w:hAnsi="Consolas"/>
        </w:rPr>
        <w:t xml:space="preserve">:2983-3020</w:t>
      </w:r>
      <w:r>
        <w:t xml:space="preserve">. Ten PDFs are committed and served as static assets.</w:t>
      </w:r>
    </w:p>
    <w:p>
      <w:pPr>
        <w:spacing w:after="140"/>
      </w:pPr>
      <w:r>
        <w:rPr>
          <w:b/>
        </w:rPr>
        <w:t xml:space="preserve">Demand telemetry showing what people actually want.</w:t>
      </w:r>
      <w:r>
        <w:t xml:space="preserve"> Exact counts from </w:t>
      </w:r>
      <w:r>
        <w:rPr>
          <w:rFonts w:ascii="Consolas" w:hAnsi="Consolas"/>
        </w:rPr>
        <w:t xml:space="preserve">interaction_events</w:t>
      </w:r>
      <w:r>
        <w:t xml:space="preserve">, total 1,238 rows: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Signal</w:t>
            </w:r>
          </w:p>
        </w:tc>
        <w:tc>
          <w:tcPr>
            <w:tcW w:w="3120" w:type="dxa"/>
          </w:tcPr>
          <w:p>
            <w:pPr>
              <w:spacing w:after="0"/>
            </w:pPr>
            <w:r>
              <w:t xml:space="preserve">Count</w:t>
            </w:r>
          </w:p>
        </w:tc>
        <w:tc>
          <w:tcPr>
            <w:tcW w:w="3120" w:type="dxa"/>
          </w:tcPr>
          <w:p>
            <w:pPr>
              <w:spacing w:after="0"/>
            </w:pPr>
            <w:r>
              <w:t xml:space="preserve">What it is</w:t>
            </w:r>
          </w:p>
        </w:tc>
      </w:tr>
      <w:tr>
        <w:tc>
          <w:tcPr>
            <w:tcW w:w="3120" w:type="dxa"/>
          </w:tcPr>
          <w:p>
            <w:pPr>
              <w:spacing w:after="0"/>
            </w:pPr>
            <w:r>
              <w:rPr>
                <w:rFonts w:ascii="Consolas" w:hAnsi="Consolas"/>
              </w:rPr>
              <w:t xml:space="preserve">pdf-dl</w:t>
            </w:r>
          </w:p>
        </w:tc>
        <w:tc>
          <w:tcPr>
            <w:tcW w:w="3120" w:type="dxa"/>
          </w:tcPr>
          <w:p>
            <w:pPr>
              <w:spacing w:after="0"/>
            </w:pPr>
            <w:r>
              <w:t xml:space="preserve">245</w:t>
            </w:r>
          </w:p>
        </w:tc>
        <w:tc>
          <w:tcPr>
            <w:tcW w:w="3120" w:type="dxa"/>
          </w:tcPr>
          <w:p>
            <w:pPr>
              <w:spacing w:after="0"/>
            </w:pPr>
            <w:r>
              <w:t xml:space="preserve">reference and paper downloads</w:t>
            </w:r>
          </w:p>
        </w:tc>
      </w:tr>
      <w:tr>
        <w:tc>
          <w:tcPr>
            <w:tcW w:w="3120" w:type="dxa"/>
          </w:tcPr>
          <w:p>
            <w:pPr>
              <w:spacing w:after="0"/>
            </w:pPr>
            <w:r>
              <w:rPr>
                <w:rFonts w:ascii="Consolas" w:hAnsi="Consolas"/>
              </w:rPr>
              <w:t xml:space="preserve">kit-dl</w:t>
            </w:r>
          </w:p>
        </w:tc>
        <w:tc>
          <w:tcPr>
            <w:tcW w:w="3120" w:type="dxa"/>
          </w:tcPr>
          <w:p>
            <w:pPr>
              <w:spacing w:after="0"/>
            </w:pPr>
            <w:r>
              <w:t xml:space="preserve">195</w:t>
            </w:r>
          </w:p>
        </w:tc>
        <w:tc>
          <w:tcPr>
            <w:tcW w:w="3120" w:type="dxa"/>
          </w:tcPr>
          <w:p>
            <w:pPr>
              <w:spacing w:after="0"/>
            </w:pPr>
            <w:r>
              <w:t xml:space="preserve">training kit downloads</w:t>
            </w:r>
          </w:p>
        </w:tc>
      </w:tr>
      <w:tr>
        <w:tc>
          <w:tcPr>
            <w:tcW w:w="3120" w:type="dxa"/>
          </w:tcPr>
          <w:p>
            <w:pPr>
              <w:spacing w:after="0"/>
            </w:pPr>
            <w:r>
              <w:rPr>
                <w:rFonts w:ascii="Consolas" w:hAnsi="Consolas"/>
              </w:rPr>
              <w:t xml:space="preserve">gate-view</w:t>
            </w:r>
          </w:p>
        </w:tc>
        <w:tc>
          <w:tcPr>
            <w:tcW w:w="3120" w:type="dxa"/>
          </w:tcPr>
          <w:p>
            <w:pPr>
              <w:spacing w:after="0"/>
            </w:pPr>
            <w:r>
              <w:t xml:space="preserve">145</w:t>
            </w:r>
          </w:p>
        </w:tc>
        <w:tc>
          <w:tcPr>
            <w:tcW w:w="3120" w:type="dxa"/>
          </w:tcPr>
          <w:p>
            <w:pPr>
              <w:spacing w:after="0"/>
            </w:pPr>
            <w:r>
              <w:t xml:space="preserve">campaign screen arrivals</w:t>
            </w:r>
          </w:p>
        </w:tc>
      </w:tr>
      <w:tr>
        <w:tc>
          <w:tcPr>
            <w:tcW w:w="3120" w:type="dxa"/>
          </w:tcPr>
          <w:p>
            <w:pPr>
              <w:spacing w:after="0"/>
            </w:pPr>
            <w:r>
              <w:rPr>
                <w:rFonts w:ascii="Consolas" w:hAnsi="Consolas"/>
              </w:rPr>
              <w:t xml:space="preserve">support</w:t>
            </w:r>
          </w:p>
        </w:tc>
        <w:tc>
          <w:tcPr>
            <w:tcW w:w="3120" w:type="dxa"/>
          </w:tcPr>
          <w:p>
            <w:pPr>
              <w:spacing w:after="0"/>
            </w:pPr>
            <w:r>
              <w:t xml:space="preserve">112</w:t>
            </w:r>
          </w:p>
        </w:tc>
        <w:tc>
          <w:tcPr>
            <w:tcW w:w="3120" w:type="dxa"/>
          </w:tcPr>
          <w:p>
            <w:pPr>
              <w:spacing w:after="0"/>
            </w:pPr>
            <w:r>
              <w:t xml:space="preserve">endorsement actions</w:t>
            </w:r>
          </w:p>
        </w:tc>
      </w:tr>
      <w:tr>
        <w:tc>
          <w:tcPr>
            <w:tcW w:w="3120" w:type="dxa"/>
          </w:tcPr>
          <w:p>
            <w:pPr>
              <w:spacing w:after="0"/>
            </w:pPr>
            <w:r>
              <w:rPr>
                <w:rFonts w:ascii="Consolas" w:hAnsi="Consolas"/>
              </w:rPr>
              <w:t xml:space="preserve">guide-dl</w:t>
            </w:r>
          </w:p>
        </w:tc>
        <w:tc>
          <w:tcPr>
            <w:tcW w:w="3120" w:type="dxa"/>
          </w:tcPr>
          <w:p>
            <w:pPr>
              <w:spacing w:after="0"/>
            </w:pPr>
            <w:r>
              <w:t xml:space="preserve">105</w:t>
            </w:r>
          </w:p>
        </w:tc>
        <w:tc>
          <w:tcPr>
            <w:tcW w:w="3120" w:type="dxa"/>
          </w:tcPr>
          <w:p>
            <w:pPr>
              <w:spacing w:after="0"/>
            </w:pPr>
            <w:r>
              <w:t xml:space="preserve">investigator field guide</w:t>
            </w:r>
          </w:p>
        </w:tc>
      </w:tr>
      <w:tr>
        <w:tc>
          <w:tcPr>
            <w:tcW w:w="3120" w:type="dxa"/>
          </w:tcPr>
          <w:p>
            <w:pPr>
              <w:spacing w:after="0"/>
            </w:pPr>
            <w:r>
              <w:rPr>
                <w:rFonts w:ascii="Consolas" w:hAnsi="Consolas"/>
              </w:rPr>
              <w:t xml:space="preserve">checkout-click</w:t>
            </w:r>
          </w:p>
        </w:tc>
        <w:tc>
          <w:tcPr>
            <w:tcW w:w="3120" w:type="dxa"/>
          </w:tcPr>
          <w:p>
            <w:pPr>
              <w:spacing w:after="0"/>
            </w:pPr>
            <w:r>
              <w:rPr>
                <w:b/>
              </w:rPr>
              <w:t xml:space="preserve">13</w:t>
            </w:r>
          </w:p>
        </w:tc>
        <w:tc>
          <w:tcPr>
            <w:tcW w:w="3120" w:type="dxa"/>
          </w:tcPr>
          <w:p>
            <w:pPr>
              <w:spacing w:after="0"/>
            </w:pPr>
            <w:r>
              <w:rPr>
                <w:b/>
              </w:rPr>
              <w:t xml:space="preserve">purchase attempts, all lost</w:t>
            </w:r>
          </w:p>
        </w:tc>
      </w:tr>
    </w:tbl>
    <w:p>
      <w:pPr/>
      <w:r>
        <w:t/>
      </w:r>
    </w:p>
    <w:p>
      <w:pPr>
        <w:spacing w:after="140"/>
      </w:pPr>
      <w:r>
        <w:rPr>
          <w:b/>
        </w:rPr>
        <w:t xml:space="preserve">Three dedicated intake pages already live</w:t>
      </w:r>
      <w:r>
        <w:t xml:space="preserve">: </w:t>
      </w:r>
      <w:r>
        <w:rPr>
          <w:rFonts w:ascii="Consolas" w:hAnsi="Consolas"/>
        </w:rPr>
        <w:t xml:space="preserve">audit-request.html</w:t>
      </w:r>
      <w:r>
        <w:t xml:space="preserve">, </w:t>
      </w:r>
      <w:r>
        <w:rPr>
          <w:rFonts w:ascii="Consolas" w:hAnsi="Consolas"/>
        </w:rPr>
        <w:t xml:space="preserve">governance-request.html</w:t>
      </w:r>
      <w:r>
        <w:t xml:space="preserve">, </w:t>
      </w:r>
      <w:r>
        <w:rPr>
          <w:rFonts w:ascii="Consolas" w:hAnsi="Consolas"/>
        </w:rPr>
        <w:t xml:space="preserve">calibration-request.html</w:t>
      </w:r>
      <w:r>
        <w:t xml:space="preserve">, each carrying invoice and purchase-order language.</w:t>
      </w:r>
    </w:p>
    <w:p>
      <w:pPr>
        <w:spacing w:after="140"/>
      </w:pPr>
      <w:r>
        <w:rPr>
          <w:b/>
        </w:rPr>
        <w:t xml:space="preserve">A scoring engine that is already a licensable product.</w:t>
      </w:r>
      <w:r>
        <w:t xml:space="preserve"> </w:t>
      </w:r>
      <w:r>
        <w:rPr>
          <w:rFonts w:ascii="Consolas" w:hAnsi="Consolas"/>
        </w:rPr>
        <w:t xml:space="preserve">api/bench-score.js:3-14</w:t>
      </w:r>
      <w:r>
        <w:t xml:space="preserve"> scores a licensee's determinations against a held-out key and returns an aggregate calibration report while withholding the key, per-record correctness and the scoring logic. That containment is what makes it sellable more than once. This is the $750 calibration offer and it is built.</w:t>
      </w:r>
    </w:p>
    <w:p>
      <w:pPr>
        <w:spacing w:after="140"/>
      </w:pPr>
      <w:r>
        <w:rPr>
          <w:b/>
        </w:rPr>
        <w:t xml:space="preserve">Legal and compliance surface already written.</w:t>
      </w:r>
      <w:r>
        <w:t xml:space="preserve"> </w:t>
      </w:r>
      <w:r>
        <w:rPr>
          <w:rFonts w:ascii="Consolas" w:hAnsi="Consolas"/>
        </w:rPr>
        <w:t xml:space="preserve">terms.html</w:t>
      </w:r>
      <w:r>
        <w:t xml:space="preserve">, </w:t>
      </w:r>
      <w:r>
        <w:rPr>
          <w:rFonts w:ascii="Consolas" w:hAnsi="Consolas"/>
        </w:rPr>
        <w:t xml:space="preserve">engagement.html</w:t>
      </w:r>
      <w:r>
        <w:t xml:space="preserve">, </w:t>
      </w:r>
      <w:r>
        <w:rPr>
          <w:rFonts w:ascii="Consolas" w:hAnsi="Consolas"/>
        </w:rPr>
        <w:t xml:space="preserve">enterprise.html</w:t>
      </w:r>
      <w:r>
        <w:t xml:space="preserve"> and </w:t>
      </w:r>
      <w:r>
        <w:rPr>
          <w:rFonts w:ascii="Consolas" w:hAnsi="Consolas"/>
        </w:rPr>
        <w:t xml:space="preserve">check.html</w:t>
      </w:r>
      <w:r>
        <w:t xml:space="preserve"> carry the non-establishment clauses. Nothing in this roadmap requires touching them.</w:t>
      </w:r>
    </w:p>
    <w:p>
      <w:pPr>
        <w:pBdr>
          <w:bottom w:val="single" w:sz="6" w:space="1" w:color="AAAAAA"/>
        </w:pBdr>
      </w:pPr>
    </w:p>
    <w:p>
      <w:pPr>
        <w:pStyle w:val="Heading2"/>
        <w:spacing w:after="140"/>
      </w:pPr>
      <w:r>
        <w:t xml:space="preserve">3. Immediate revenue blockers</w:t>
      </w:r>
    </w:p>
    <w:p>
      <w:pPr>
        <w:spacing w:after="140"/>
      </w:pPr>
      <w:r>
        <w:rPr>
          <w:b/>
        </w:rPr>
        <w:t xml:space="preserve">Blocker 1. No payment link exists. This is the only true blocker.</w:t>
      </w:r>
      <w:r>
        <w:t xml:space="preserve"> Every </w:t>
      </w:r>
      <w:r>
        <w:rPr>
          <w:rFonts w:ascii="Consolas" w:hAnsi="Consolas"/>
        </w:rPr>
        <w:t xml:space="preserve">checkout_url</w:t>
      </w:r>
      <w:r>
        <w:t xml:space="preserve"> in </w:t>
      </w:r>
      <w:r>
        <w:rPr>
          <w:rFonts w:ascii="Consolas" w:hAnsi="Consolas"/>
        </w:rPr>
        <w:t xml:space="preserve">api/_offer-config.js</w:t>
      </w:r>
      <w:r>
        <w:t xml:space="preserve"> is an empty string. </w:t>
      </w:r>
      <w:r>
        <w:rPr>
          <w:rFonts w:ascii="Consolas" w:hAnsi="Consolas"/>
        </w:rPr>
        <w:t xml:space="preserve">isConfigured()</w:t>
      </w:r>
      <w:r>
        <w:t xml:space="preserve"> returns false, so </w:t>
      </w:r>
      <w:r>
        <w:rPr>
          <w:rFonts w:ascii="Consolas" w:hAnsi="Consolas"/>
        </w:rPr>
        <w:t xml:space="preserve">api/checkout.js</w:t>
      </w:r>
      <w:r>
        <w:t xml:space="preserve"> takes the invoice branch every time. Fifteen minutes in a payment dashboard plus one file edit clears it. No code change is required.</w:t>
      </w:r>
    </w:p>
    <w:p>
      <w:pPr>
        <w:spacing w:after="140"/>
      </w:pPr>
      <w:r>
        <w:rPr>
          <w:b/>
        </w:rPr>
        <w:t xml:space="preserve">Blocker 2. The failure path captures no contact detail, so lost buyers stay lost.</w:t>
      </w:r>
      <w:r>
        <w:t xml:space="preserve"> The unconfigured branch of </w:t>
      </w:r>
      <w:r>
        <w:rPr>
          <w:rFonts w:ascii="Consolas" w:hAnsi="Consolas"/>
        </w:rPr>
        <w:t xml:space="preserve">api/checkout.js</w:t>
      </w:r>
      <w:r>
        <w:t xml:space="preserve"> renders a static page asking the reader to email </w:t>
      </w:r>
      <w:r>
        <w:rPr>
          <w:rFonts w:ascii="Consolas" w:hAnsi="Consolas"/>
        </w:rPr>
        <w:t xml:space="preserve">info@jrsstandard.com</w:t>
      </w:r>
      <w:r>
        <w:t xml:space="preserve">. If they do not email, they are gone. </w:t>
      </w:r>
      <w:r>
        <w:rPr>
          <w:b/>
        </w:rPr>
        <w:t xml:space="preserve">All 13 were lost this way, and none can be recovered because no name, email or organisation was ever captured.</w:t>
      </w:r>
      <w:r>
        <w:t xml:space="preserve"> This is a larger practical loss than blocker 1, because blocker 1 stops future revenue while blocker 2 has already destroyed thirteen contacts.</w:t>
      </w:r>
    </w:p>
    <w:p>
      <w:pPr>
        <w:spacing w:after="140"/>
      </w:pPr>
      <w:r>
        <w:rPr>
          <w:b/>
        </w:rPr>
        <w:t xml:space="preserve">Blocker 3. The 4 August to 21 August cluster is going cold.</w:t>
      </w:r>
      <w:r>
        <w:t xml:space="preserve"> The most recent purchase attempt is four days old. The GB three-offer cluster is four days old. Enterprise evaluation windows close.</w:t>
      </w:r>
    </w:p>
    <w:p>
      <w:pPr>
        <w:spacing w:after="140"/>
      </w:pPr>
      <w:r>
        <w:rPr>
          <w:b/>
        </w:rPr>
        <w:t xml:space="preserve">Blocker 4. No legal entity, which blocks invoicing at enterprise scale but not at all.</w:t>
      </w:r>
      <w:r>
        <w:t xml:space="preserve"> </w:t>
      </w:r>
      <w:r>
        <w:rPr>
          <w:rFonts w:ascii="Consolas" w:hAnsi="Consolas"/>
        </w:rPr>
        <w:t xml:space="preserve">SURGICAL_REMEDIATION_PROMPT.md:68</w:t>
      </w:r>
      <w:r>
        <w:t xml:space="preserve"> prohibits naming an entity type unless one has been formed. A sole-trader invoice is accepted by small buyers and by most professional-services purchases at these price points. It is rejected by large institutional accounts payable. This blocks the $750 calibration tier with a corporate buyer far more than it blocks the $250 audit.</w:t>
      </w:r>
    </w:p>
    <w:p>
      <w:pPr>
        <w:spacing w:after="140"/>
      </w:pPr>
      <w:r>
        <w:rPr>
          <w:b/>
        </w:rPr>
        <w:t xml:space="preserve">Not a blocker, despite appearances.</w:t>
      </w:r>
      <w:r>
        <w:t xml:space="preserve"> The compliance disclaimers do not obstruct any of this. Nothing in the roadmap below adds a framework claim, a certification claim or an accreditation claim.</w:t>
      </w:r>
    </w:p>
    <w:p>
      <w:pPr>
        <w:pBdr>
          <w:bottom w:val="single" w:sz="6" w:space="1" w:color="AAAAAA"/>
        </w:pBdr>
      </w:pPr>
    </w:p>
    <w:p>
      <w:pPr>
        <w:pStyle w:val="Heading2"/>
        <w:spacing w:after="140"/>
      </w:pPr>
      <w:r>
        <w:t xml:space="preserve">4. What the detection study result may and may not be used for commercially</w:t>
      </w:r>
    </w:p>
    <w:p>
      <w:pPr>
        <w:spacing w:after="140"/>
      </w:pPr>
      <w:r>
        <w:t xml:space="preserve">The preliminary summary supplied reports </w:t>
      </w:r>
      <w:r>
        <w:rPr>
          <w:b/>
        </w:rPr>
        <w:t xml:space="preserve">83.9% accuracy, 95% CI 72.7% to 95.1%</w:t>
      </w:r>
      <w:r>
        <w:t xml:space="preserve">, across </w:t>
      </w:r>
      <w:r>
        <w:rPr>
          <w:b/>
        </w:rPr>
        <w:t xml:space="preserve">384 graded reads</w:t>
      </w:r>
      <w:r>
        <w:t xml:space="preserve">, 16 reviewers, 11 countries, 24 records, reviewer range 37.5% to 100%, SD 21.0 points, every record correctly classified by at least 10 of 16.</w:t>
      </w:r>
    </w:p>
    <w:p>
      <w:pPr>
        <w:spacing w:after="140"/>
      </w:pPr>
      <w:r>
        <w:rPr>
          <w:b/>
        </w:rPr>
        <w:t xml:space="preserve">This is a genuine commercial asset and it is also the easiest place on this site to create a claim that cannot be defended.</w:t>
      </w:r>
      <w:r>
        <w:t xml:space="preserve"> The summary's own boundary list is the constraint:</w:t>
      </w:r>
    </w:p>
    <w:p>
      <w:pPr>
        <w:spacing w:after="140"/>
      </w:pPr>
      <w:r>
        <w:rPr>
          <w:b/>
        </w:rPr>
        <w:t xml:space="preserve">Usable in commercial copy, as written:</w:t>
      </w:r>
    </w:p>
    <w:p>
      <w:pPr>
        <w:numPr>
          <w:ilvl w:val="0"/>
          <w:numId w:val="1"/>
        </w:numPr>
        <w:spacing w:after="60"/>
      </w:pPr>
      <w:r>
        <w:t xml:space="preserve">The operationalized DRR distinction was </w:t>
      </w:r>
      <w:r>
        <w:rPr>
          <w:b/>
        </w:rPr>
        <w:t xml:space="preserve">detectable</w:t>
      </w:r>
      <w:r>
        <w:t xml:space="preserve"> by independent reviewers blind to the</w:t>
      </w:r>
    </w:p>
    <w:p>
      <w:pPr>
        <w:spacing w:after="140"/>
      </w:pPr>
      <w:r>
        <w:t xml:space="preserve">reference classification.</w:t>
      </w:r>
    </w:p>
    <w:p>
      <w:pPr>
        <w:numPr>
          <w:ilvl w:val="0"/>
          <w:numId w:val="1"/>
        </w:numPr>
        <w:spacing w:after="60"/>
      </w:pPr>
      <w:r>
        <w:t xml:space="preserve">16 independent experts, 11 countries, five continents, 384 graded reads.</w:t>
      </w:r>
    </w:p>
    <w:p>
      <w:pPr>
        <w:numPr>
          <w:ilvl w:val="0"/>
          <w:numId w:val="1"/>
        </w:numPr>
        <w:spacing w:after="60"/>
      </w:pPr>
      <w:r>
        <w:t xml:space="preserve">83.9% detection accuracy on a constructed corpus, stated as </w:t>
      </w:r>
      <w:r>
        <w:rPr>
          <w:b/>
        </w:rPr>
        <w:t xml:space="preserve">preliminary</w:t>
      </w:r>
      <w:r>
        <w:t xml:space="preserve">.</w:t>
      </w:r>
    </w:p>
    <w:p>
      <w:pPr>
        <w:spacing w:after="140"/>
      </w:pPr>
      <w:r>
        <w:rPr>
          <w:b/>
        </w:rPr>
        <w:t xml:space="preserve">Must never appear in commercial copy:</w:t>
      </w:r>
    </w:p>
    <w:p>
      <w:pPr>
        <w:numPr>
          <w:ilvl w:val="0"/>
          <w:numId w:val="1"/>
        </w:numPr>
        <w:spacing w:after="60"/>
      </w:pPr>
      <w:r>
        <w:t xml:space="preserve">That JRS is validated, or that validation is complete.</w:t>
      </w:r>
    </w:p>
    <w:p>
      <w:pPr>
        <w:numPr>
          <w:ilvl w:val="0"/>
          <w:numId w:val="1"/>
        </w:numPr>
        <w:spacing w:after="60"/>
      </w:pPr>
      <w:r>
        <w:t xml:space="preserve">That JRS improves reviewer accuracy, or outperforms unaided professional judgment. **The</w:t>
      </w:r>
    </w:p>
    <w:p>
      <w:pPr>
        <w:spacing w:after="140"/>
      </w:pPr>
      <w:r>
        <w:t xml:space="preserve">study had no comparison arm for this claim.**</w:t>
      </w:r>
    </w:p>
    <w:p>
      <w:pPr>
        <w:numPr>
          <w:ilvl w:val="0"/>
          <w:numId w:val="1"/>
        </w:numPr>
        <w:spacing w:after="60"/>
      </w:pPr>
      <w:r>
        <w:t xml:space="preserve">Criterion validity, psychometric validation, or generalisation to real-world records.</w:t>
      </w:r>
    </w:p>
    <w:p>
      <w:pPr>
        <w:spacing w:after="140"/>
      </w:pPr>
      <w:r>
        <w:rPr>
          <w:b/>
        </w:rPr>
        <w:t xml:space="preserve">Two specific traps.</w:t>
      </w:r>
      <w:r>
        <w:t xml:space="preserve"> First, the reviewer range </w:t>
      </w:r>
      <w:r>
        <w:rPr>
          <w:b/>
        </w:rPr>
        <w:t xml:space="preserve">37.5% to 100%</w:t>
      </w:r>
      <w:r>
        <w:t xml:space="preserve"> with SD 21.0 must travel with the 83.9% wherever a technical buyer will see it, because a buyer who finds the spread later reads the headline as concealment. Second, the corpus was </w:t>
      </w:r>
      <w:r>
        <w:rPr>
          <w:b/>
        </w:rPr>
        <w:t xml:space="preserve">constructed and de-identified</w:t>
      </w:r>
      <w:r>
        <w:t xml:space="preserve">, not real-world; saying or implying otherwise is the exact failure mode the programme measures in other organisations' records.</w:t>
      </w:r>
    </w:p>
    <w:p>
      <w:pPr>
        <w:spacing w:after="140"/>
      </w:pPr>
      <w:r>
        <w:t xml:space="preserve">The safe commercial framing is the narrow one: </w:t>
      </w:r>
      <w:r>
        <w:rPr>
          <w:b/>
        </w:rPr>
        <w:t xml:space="preserve">independent experts in 11 countries could see the distinction from the records alone.</w:t>
      </w:r>
      <w:r>
        <w:t xml:space="preserve"> That sentence sells the calibration tier without touching a single prohibited claim.</w:t>
      </w:r>
    </w:p>
    <w:p>
      <w:pPr>
        <w:pBdr>
          <w:bottom w:val="single" w:sz="6" w:space="1" w:color="AAAAAA"/>
        </w:pBdr>
      </w:pPr>
    </w:p>
    <w:p>
      <w:pPr>
        <w:pStyle w:val="Heading2"/>
        <w:spacing w:after="140"/>
      </w:pPr>
      <w:r>
        <w:t xml:space="preserve">5. Step-by-step monetization roadmap</w:t>
      </w:r>
    </w:p>
    <w:p>
      <w:pPr>
        <w:pStyle w:val="Heading3"/>
        <w:spacing w:after="140"/>
      </w:pPr>
      <w:r>
        <w:t xml:space="preserve">Phase 1. Today. Stop the leak. Roughly one hour.</w:t>
      </w:r>
    </w:p>
    <w:p>
      <w:pPr>
        <w:numPr>
          <w:ilvl w:val="0"/>
          <w:numId w:val="3"/>
        </w:numPr>
        <w:spacing w:after="60"/>
      </w:pPr>
      <w:r>
        <w:rPr>
          <w:b/>
        </w:rPr>
        <w:t xml:space="preserve">Create three payment links</w:t>
      </w:r>
      <w:r>
        <w:t xml:space="preserve"> in the payment provider dashboard: $250 audit, $500</w:t>
      </w:r>
    </w:p>
    <w:p>
      <w:pPr>
        <w:spacing w:after="140"/>
      </w:pPr>
      <w:r>
        <w:t xml:space="preserve">governance, $750 calibration. Use the exact names from </w:t>
      </w:r>
      <w:r>
        <w:rPr>
          <w:rFonts w:ascii="Consolas" w:hAnsi="Consolas"/>
        </w:rPr>
        <w:t xml:space="preserve">api/_offer-config.js:22</w:t>
      </w:r>
      <w:r>
        <w:t xml:space="preserve">, </w:t>
      </w:r>
      <w:r>
        <w:rPr>
          <w:rFonts w:ascii="Consolas" w:hAnsi="Consolas"/>
        </w:rPr>
        <w:t xml:space="preserve">:29</w:t>
      </w:r>
      <w:r>
        <w:t xml:space="preserve">, </w:t>
      </w:r>
      <w:r>
        <w:rPr>
          <w:rFonts w:ascii="Consolas" w:hAnsi="Consolas"/>
        </w:rPr>
        <w:t xml:space="preserve">:36</w:t>
      </w:r>
      <w:r>
        <w:t xml:space="preserve"> so the receipt matches the site.</w:t>
      </w:r>
    </w:p>
    <w:p>
      <w:pPr>
        <w:numPr>
          <w:ilvl w:val="0"/>
          <w:numId w:val="4"/>
        </w:numPr>
        <w:spacing w:after="60"/>
      </w:pPr>
      <w:r>
        <w:rPr>
          <w:b/>
        </w:rPr>
        <w:t xml:space="preserve">Paste the three URLs</w:t>
      </w:r>
      <w:r>
        <w:t xml:space="preserve"> into the </w:t>
      </w:r>
      <w:r>
        <w:rPr>
          <w:rFonts w:ascii="Consolas" w:hAnsi="Consolas"/>
        </w:rPr>
        <w:t xml:space="preserve">checkout_url</w:t>
      </w:r>
      <w:r>
        <w:t xml:space="preserve"> fields at </w:t>
      </w:r>
      <w:r>
        <w:rPr>
          <w:rFonts w:ascii="Consolas" w:hAnsi="Consolas"/>
        </w:rPr>
        <w:t xml:space="preserve">api/_offer-config.js:26</w:t>
      </w:r>
      <w:r>
        <w:t xml:space="preserve">,</w:t>
      </w:r>
    </w:p>
    <w:p>
      <w:pPr>
        <w:spacing w:after="140"/>
      </w:pPr>
      <w:r>
        <w:rPr>
          <w:rFonts w:ascii="Consolas" w:hAnsi="Consolas"/>
        </w:rPr>
        <w:t xml:space="preserve">:33</w:t>
      </w:r>
      <w:r>
        <w:t xml:space="preserve">, </w:t>
      </w:r>
      <w:r>
        <w:rPr>
          <w:rFonts w:ascii="Consolas" w:hAnsi="Consolas"/>
        </w:rPr>
        <w:t xml:space="preserve">:40</w:t>
      </w:r>
      <w:r>
        <w:t xml:space="preserve">. Deploy. </w:t>
      </w:r>
      <w:r>
        <w:rPr>
          <w:rFonts w:ascii="Consolas" w:hAnsi="Consolas"/>
        </w:rPr>
        <w:t xml:space="preserve">isConfigured()</w:t>
      </w:r>
      <w:r>
        <w:t xml:space="preserve"> flips to true and </w:t>
      </w:r>
      <w:r>
        <w:rPr>
          <w:rFonts w:ascii="Consolas" w:hAnsi="Consolas"/>
        </w:rPr>
        <w:t xml:space="preserve">api/checkout.js</w:t>
      </w:r>
      <w:r>
        <w:t xml:space="preserve"> starts redirecting. </w:t>
      </w:r>
      <w:r>
        <w:rPr>
          <w:b/>
        </w:rPr>
        <w:t xml:space="preserve">No other file changes.</w:t>
      </w:r>
    </w:p>
    <w:p>
      <w:pPr>
        <w:numPr>
          <w:ilvl w:val="0"/>
          <w:numId w:val="5"/>
        </w:numPr>
        <w:spacing w:after="60"/>
      </w:pPr>
      <w:r>
        <w:rPr>
          <w:b/>
        </w:rPr>
        <w:t xml:space="preserve">Verify with the owner bypass tag</w:t>
      </w:r>
      <w:r>
        <w:t xml:space="preserve">, </w:t>
      </w:r>
      <w:r>
        <w:rPr>
          <w:rFonts w:ascii="Consolas" w:hAnsi="Consolas"/>
        </w:rPr>
        <w:t xml:space="preserve">/api/checkout?o=audit&amp;src=selftest</w:t>
      </w:r>
      <w:r>
        <w:t xml:space="preserve">. </w:t>
      </w:r>
      <w:r>
        <w:rPr>
          <w:rFonts w:ascii="Consolas" w:hAnsi="Consolas"/>
        </w:rPr>
        <w:t xml:space="preserve">CHECK_TAGS</w:t>
      </w:r>
    </w:p>
    <w:p>
      <w:pPr>
        <w:spacing w:after="140"/>
      </w:pPr>
      <w:r>
        <w:t xml:space="preserve">in </w:t>
      </w:r>
      <w:r>
        <w:rPr>
          <w:rFonts w:ascii="Consolas" w:hAnsi="Consolas"/>
        </w:rPr>
        <w:t xml:space="preserve">api/checkout.js</w:t>
      </w:r>
      <w:r>
        <w:t xml:space="preserve"> filters that tag, so the test does not pollute the purchase record.</w:t>
      </w:r>
    </w:p>
    <w:p>
      <w:pPr>
        <w:pStyle w:val="Heading3"/>
        <w:spacing w:after="140"/>
      </w:pPr>
      <w:r>
        <w:t xml:space="preserve">Phase 2. This week. Recover the 13, and never lose another.</w:t>
      </w:r>
    </w:p>
    <w:p>
      <w:pPr>
        <w:numPr>
          <w:ilvl w:val="0"/>
          <w:numId w:val="6"/>
        </w:numPr>
        <w:spacing w:after="60"/>
      </w:pPr>
      <w:r>
        <w:rPr>
          <w:b/>
        </w:rPr>
        <w:t xml:space="preserve">Replace the static unconfigured page with a capture form.</w:t>
      </w:r>
      <w:r>
        <w:t xml:space="preserve"> Even after Phase 1, keep the</w:t>
      </w:r>
    </w:p>
    <w:p>
      <w:pPr>
        <w:spacing w:after="140"/>
      </w:pPr>
      <w:r>
        <w:t xml:space="preserve">fallback branch and give it name, email, organisation and record volume, posting to </w:t>
      </w:r>
      <w:r>
        <w:rPr>
          <w:rFonts w:ascii="Consolas" w:hAnsi="Consolas"/>
        </w:rPr>
        <w:t xml:space="preserve">pilot_contacts</w:t>
      </w:r>
      <w:r>
        <w:t xml:space="preserve"> with a new source, </w:t>
      </w:r>
      <w:r>
        <w:rPr>
          <w:rFonts w:ascii="Consolas" w:hAnsi="Consolas"/>
        </w:rPr>
        <w:t xml:space="preserve">checkout-fallback</w:t>
      </w:r>
      <w:r>
        <w:t xml:space="preserve">. A buyer who will not pay by card is still a buyer. </w:t>
      </w:r>
      <w:r>
        <w:rPr>
          <w:b/>
        </w:rPr>
        <w:t xml:space="preserve">This is the change that would have saved all 13.</w:t>
      </w:r>
    </w:p>
    <w:p>
      <w:pPr>
        <w:numPr>
          <w:ilvl w:val="0"/>
          <w:numId w:val="7"/>
        </w:numPr>
        <w:spacing w:after="60"/>
      </w:pPr>
      <w:r>
        <w:rPr>
          <w:b/>
        </w:rPr>
        <w:t xml:space="preserve">Add a post-purchase intake step.</w:t>
      </w:r>
      <w:r>
        <w:t xml:space="preserve"> A payment link alone gives you money and an email</w:t>
      </w:r>
    </w:p>
    <w:p>
      <w:pPr>
        <w:spacing w:after="140"/>
      </w:pPr>
      <w:r>
        <w:t xml:space="preserve">address but no scope. Set the link's confirmation redirect to the matching request page so the buyer lands on </w:t>
      </w:r>
      <w:r>
        <w:rPr>
          <w:rFonts w:ascii="Consolas" w:hAnsi="Consolas"/>
        </w:rPr>
        <w:t xml:space="preserve">audit-request.html</w:t>
      </w:r>
      <w:r>
        <w:t xml:space="preserve">, </w:t>
      </w:r>
      <w:r>
        <w:rPr>
          <w:rFonts w:ascii="Consolas" w:hAnsi="Consolas"/>
        </w:rPr>
        <w:t xml:space="preserve">governance-request.html</w:t>
      </w:r>
      <w:r>
        <w:t xml:space="preserve"> or </w:t>
      </w:r>
      <w:r>
        <w:rPr>
          <w:rFonts w:ascii="Consolas" w:hAnsi="Consolas"/>
        </w:rPr>
        <w:t xml:space="preserve">calibration-request.html</w:t>
      </w:r>
      <w:r>
        <w:t xml:space="preserve"> and states record type and volume immediately.</w:t>
      </w:r>
    </w:p>
    <w:p>
      <w:pPr>
        <w:numPr>
          <w:ilvl w:val="0"/>
          <w:numId w:val="8"/>
        </w:numPr>
        <w:spacing w:after="60"/>
      </w:pPr>
      <w:r>
        <w:rPr>
          <w:b/>
        </w:rPr>
        <w:t xml:space="preserve">Work the GB cluster now.</w:t>
      </w:r>
      <w:r>
        <w:t xml:space="preserve"> Three offers, one country, 21 August. No contact was captured,</w:t>
      </w:r>
    </w:p>
    <w:p>
      <w:pPr>
        <w:spacing w:after="140"/>
      </w:pPr>
      <w:r>
        <w:t xml:space="preserve">so the only recovery route is inbound. Make sure the three request pages are the strongest pages on the site this week.</w:t>
      </w:r>
    </w:p>
    <w:p>
      <w:pPr>
        <w:pStyle w:val="Heading3"/>
        <w:spacing w:after="140"/>
      </w:pPr>
      <w:r>
        <w:t xml:space="preserve">Phase 3. Next two weeks. Raise revenue per visitor.</w:t>
      </w:r>
    </w:p>
    <w:p>
      <w:pPr>
        <w:numPr>
          <w:ilvl w:val="0"/>
          <w:numId w:val="9"/>
        </w:numPr>
        <w:spacing w:after="60"/>
      </w:pPr>
      <w:r>
        <w:rPr>
          <w:b/>
        </w:rPr>
        <w:t xml:space="preserve">Instrument the free-to-paid gap.</w:t>
      </w:r>
      <w:r>
        <w:t xml:space="preserve"> </w:t>
      </w:r>
      <w:r>
        <w:rPr>
          <w:rFonts w:ascii="Consolas" w:hAnsi="Consolas"/>
        </w:rPr>
        <w:t xml:space="preserve">FREE_TIER</w:t>
      </w:r>
      <w:r>
        <w:t xml:space="preserve"> at </w:t>
      </w:r>
      <w:r>
        <w:rPr>
          <w:rFonts w:ascii="Consolas" w:hAnsi="Consolas"/>
        </w:rPr>
        <w:t xml:space="preserve">api/_offer-config.js:47-53</w:t>
      </w:r>
      <w:r>
        <w:t xml:space="preserve"> is ungated</w:t>
      </w:r>
    </w:p>
    <w:p>
      <w:pPr>
        <w:spacing w:after="140"/>
      </w:pPr>
      <w:r>
        <w:t xml:space="preserve">and </w:t>
      </w:r>
      <w:r>
        <w:rPr>
          <w:rFonts w:ascii="Consolas" w:hAnsi="Consolas"/>
        </w:rPr>
        <w:t xml:space="preserve">pdf-dl</w:t>
      </w:r>
      <w:r>
        <w:t xml:space="preserve"> shows 245 downloads against 13 purchase attempts. Add a </w:t>
      </w:r>
      <w:r>
        <w:rPr>
          <w:rFonts w:ascii="Consolas" w:hAnsi="Consolas"/>
        </w:rPr>
        <w:t xml:space="preserve">src</w:t>
      </w:r>
      <w:r>
        <w:t xml:space="preserve"> tag to every checkout link placed on </w:t>
      </w:r>
      <w:r>
        <w:rPr>
          <w:rFonts w:ascii="Consolas" w:hAnsi="Consolas"/>
        </w:rPr>
        <w:t xml:space="preserve">/check.html</w:t>
      </w:r>
      <w:r>
        <w:t xml:space="preserve"> and on the PDF confirmation paths so the funnel from free artifact to paid engagement becomes measurable. </w:t>
      </w:r>
      <w:r>
        <w:rPr>
          <w:rFonts w:ascii="Consolas" w:hAnsi="Consolas"/>
        </w:rPr>
        <w:t xml:space="preserve">api/checkout.js</w:t>
      </w:r>
      <w:r>
        <w:t xml:space="preserve"> already records the tag; nothing new is needed server-side.</w:t>
      </w:r>
    </w:p>
    <w:p>
      <w:pPr>
        <w:numPr>
          <w:ilvl w:val="0"/>
          <w:numId w:val="10"/>
        </w:numPr>
        <w:spacing w:after="60"/>
      </w:pPr>
      <w:r>
        <w:rPr>
          <w:b/>
        </w:rPr>
        <w:t xml:space="preserve">Put the detection result on the calibration page only, inside its boundary.</w:t>
      </w:r>
      <w:r>
        <w:t xml:space="preserve"> The $750</w:t>
      </w:r>
    </w:p>
    <w:p>
      <w:pPr>
        <w:spacing w:after="140"/>
      </w:pPr>
      <w:r>
        <w:t xml:space="preserve">calibration tier is the offer the evidence actually supports, because </w:t>
      </w:r>
      <w:r>
        <w:rPr>
          <w:rFonts w:ascii="Consolas" w:hAnsi="Consolas"/>
        </w:rPr>
        <w:t xml:space="preserve">api/bench-score.js</w:t>
      </w:r>
      <w:r>
        <w:t xml:space="preserve"> is the thing the study measured. Use the narrow framing from section 4, carry the reviewer range with the headline, and label it preliminary.</w:t>
      </w:r>
    </w:p>
    <w:p>
      <w:pPr>
        <w:numPr>
          <w:ilvl w:val="0"/>
          <w:numId w:val="11"/>
        </w:numPr>
        <w:spacing w:after="60"/>
      </w:pPr>
      <w:r>
        <w:rPr>
          <w:b/>
        </w:rPr>
        <w:t xml:space="preserve">Add a guard to `scripts/check_zero_drift.py`</w:t>
      </w:r>
      <w:r>
        <w:t xml:space="preserve"> that fails if any price literal appears in</w:t>
      </w:r>
    </w:p>
    <w:p>
      <w:pPr>
        <w:spacing w:after="140"/>
      </w:pPr>
      <w:r>
        <w:t xml:space="preserve">an HTML file, and fails if the words "validated", "improves accuracy" or "criterion validity" appear next to a JRS claim on any commercial page. Make both structural rather than dependent on memory.</w:t>
      </w:r>
    </w:p>
    <w:p>
      <w:pPr>
        <w:pStyle w:val="Heading3"/>
        <w:spacing w:after="140"/>
      </w:pPr>
      <w:r>
        <w:t xml:space="preserve">Phase 4. When volume justifies it.</w:t>
      </w:r>
    </w:p>
    <w:p>
      <w:pPr>
        <w:numPr>
          <w:ilvl w:val="0"/>
          <w:numId w:val="12"/>
        </w:numPr>
        <w:spacing w:after="60"/>
      </w:pPr>
      <w:r>
        <w:rPr>
          <w:b/>
        </w:rPr>
        <w:t xml:space="preserve">Form the entity</w:t>
      </w:r>
      <w:r>
        <w:t xml:space="preserve">, then add the proforma or vendor-quote path. Until then, invoice by</w:t>
      </w:r>
    </w:p>
    <w:p>
      <w:pPr>
        <w:spacing w:after="140"/>
      </w:pPr>
      <w:r>
        <w:t xml:space="preserve">email; three of the 13 were German and one French, and EU institutional buyers will ask for a VAT identifier before they ask for anything else.</w:t>
      </w:r>
    </w:p>
    <w:p>
      <w:pPr>
        <w:numPr>
          <w:ilvl w:val="0"/>
          <w:numId w:val="13"/>
        </w:numPr>
        <w:spacing w:after="60"/>
      </w:pPr>
      <w:r>
        <w:rPr>
          <w:b/>
        </w:rPr>
        <w:t xml:space="preserve">Only then consider repricing.</w:t>
      </w:r>
      <w:r>
        <w:t xml:space="preserve"> The tiers proposed in yesterday's board plan</w:t>
      </w:r>
    </w:p>
    <w:p>
      <w:pPr>
        <w:spacing w:after="140"/>
      </w:pPr>
      <w:r>
        <w:t xml:space="preserve">($195 / $495 / $1,995 / $7,500) do not exist in this codebase. Repricing before any transaction has ever completed means changing a number that has never been tested against a real buyer. </w:t>
      </w:r>
      <w:r>
        <w:rPr>
          <w:b/>
        </w:rPr>
        <w:t xml:space="preserve">Sell three engagements at the current prices first, then reprice against evidence.</w:t>
      </w:r>
    </w:p>
    <w:p>
      <w:pPr>
        <w:pBdr>
          <w:bottom w:val="single" w:sz="6" w:space="1" w:color="AAAAAA"/>
        </w:pBdr>
      </w:pPr>
    </w:p>
    <w:p>
      <w:pPr>
        <w:pStyle w:val="Heading2"/>
        <w:spacing w:after="140"/>
      </w:pPr>
      <w:r>
        <w:t xml:space="preserve">6. The one-sentence version</w:t>
      </w:r>
    </w:p>
    <w:p>
      <w:pPr>
        <w:spacing w:after="140"/>
      </w:pPr>
      <w:r>
        <w:t xml:space="preserve">The site does not have a demand problem or a compliance problem. It has thirteen documented buyers in four countries who reached the pay screen and found no way to pay, and the fix is three payment links and a capture form on the fallback page.</w:t>
      </w:r>
    </w:p>
    <w:p>
      <w:pPr>
        <w:pBdr>
          <w:bottom w:val="single" w:sz="6" w:space="1" w:color="AAAAAA"/>
        </w:pBdr>
      </w:pPr>
    </w:p>
    <w:p>
      <w:pPr>
        <w:pStyle w:val="Heading2"/>
        <w:spacing w:after="140"/>
      </w:pPr>
      <w:r>
        <w:t xml:space="preserve">7. Evidence index</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Claim</w:t>
            </w:r>
          </w:p>
        </w:tc>
        <w:tc>
          <w:tcPr>
            <w:tcW w:w="4680" w:type="dxa"/>
          </w:tcPr>
          <w:p>
            <w:pPr>
              <w:spacing w:after="0"/>
            </w:pPr>
            <w:r>
              <w:t xml:space="preserve">Anchor</w:t>
            </w:r>
          </w:p>
        </w:tc>
      </w:tr>
      <w:tr>
        <w:tc>
          <w:tcPr>
            <w:tcW w:w="4680" w:type="dxa"/>
          </w:tcPr>
          <w:p>
            <w:pPr>
              <w:spacing w:after="0"/>
            </w:pPr>
            <w:r>
              <w:t xml:space="preserve">Three offers at $250 / $500 / $750</w:t>
            </w:r>
          </w:p>
        </w:tc>
        <w:tc>
          <w:tcPr>
            <w:tcW w:w="4680" w:type="dxa"/>
          </w:tcPr>
          <w:p>
            <w:pPr>
              <w:spacing w:after="0"/>
            </w:pPr>
            <w:r>
              <w:rPr>
                <w:rFonts w:ascii="Consolas" w:hAnsi="Consolas"/>
              </w:rPr>
              <w:t xml:space="preserve">api/_offer-config.js:20-44</w:t>
            </w:r>
          </w:p>
        </w:tc>
      </w:tr>
      <w:tr>
        <w:tc>
          <w:tcPr>
            <w:tcW w:w="4680" w:type="dxa"/>
          </w:tcPr>
          <w:p>
            <w:pPr>
              <w:spacing w:after="0"/>
            </w:pPr>
            <w:r>
              <w:t xml:space="preserve">Free tier ungated</w:t>
            </w:r>
          </w:p>
        </w:tc>
        <w:tc>
          <w:tcPr>
            <w:tcW w:w="4680" w:type="dxa"/>
          </w:tcPr>
          <w:p>
            <w:pPr>
              <w:spacing w:after="0"/>
            </w:pPr>
            <w:r>
              <w:rPr>
                <w:rFonts w:ascii="Consolas" w:hAnsi="Consolas"/>
              </w:rPr>
              <w:t xml:space="preserve">api/_offer-config.js:47-53</w:t>
            </w:r>
          </w:p>
        </w:tc>
      </w:tr>
      <w:tr>
        <w:tc>
          <w:tcPr>
            <w:tcW w:w="4680" w:type="dxa"/>
          </w:tcPr>
          <w:p>
            <w:pPr>
              <w:spacing w:after="0"/>
            </w:pPr>
            <w:r>
              <w:t xml:space="preserve">Configured-URL guard</w:t>
            </w:r>
          </w:p>
        </w:tc>
        <w:tc>
          <w:tcPr>
            <w:tcW w:w="4680" w:type="dxa"/>
          </w:tcPr>
          <w:p>
            <w:pPr>
              <w:spacing w:after="0"/>
            </w:pPr>
            <w:r>
              <w:rPr>
                <w:rFonts w:ascii="Consolas" w:hAnsi="Consolas"/>
              </w:rPr>
              <w:t xml:space="preserve">api/_offer-config.js:63-66</w:t>
            </w:r>
          </w:p>
        </w:tc>
      </w:tr>
      <w:tr>
        <w:tc>
          <w:tcPr>
            <w:tcW w:w="4680" w:type="dxa"/>
          </w:tcPr>
          <w:p>
            <w:pPr>
              <w:spacing w:after="0"/>
            </w:pPr>
            <w:r>
              <w:t xml:space="preserve">Empty checkout URLs, and why</w:t>
            </w:r>
          </w:p>
        </w:tc>
        <w:tc>
          <w:tcPr>
            <w:tcW w:w="4680" w:type="dxa"/>
          </w:tcPr>
          <w:p>
            <w:pPr>
              <w:spacing w:after="0"/>
            </w:pPr>
            <w:r>
              <w:rPr>
                <w:rFonts w:ascii="Consolas" w:hAnsi="Consolas"/>
              </w:rPr>
              <w:t xml:space="preserve">api/_offer-config.js:9-18</w:t>
            </w:r>
            <w:r>
              <w:t xml:space="preserve">, </w:t>
            </w:r>
            <w:r>
              <w:rPr>
                <w:rFonts w:ascii="Consolas" w:hAnsi="Consolas"/>
              </w:rPr>
              <w:t xml:space="preserve">:26</w:t>
            </w:r>
            <w:r>
              <w:t xml:space="preserve">, </w:t>
            </w:r>
            <w:r>
              <w:rPr>
                <w:rFonts w:ascii="Consolas" w:hAnsi="Consolas"/>
              </w:rPr>
              <w:t xml:space="preserve">:33</w:t>
            </w:r>
            <w:r>
              <w:t xml:space="preserve">, </w:t>
            </w:r>
            <w:r>
              <w:rPr>
                <w:rFonts w:ascii="Consolas" w:hAnsi="Consolas"/>
              </w:rPr>
              <w:t xml:space="preserve">:40</w:t>
            </w:r>
          </w:p>
        </w:tc>
      </w:tr>
      <w:tr>
        <w:tc>
          <w:tcPr>
            <w:tcW w:w="4680" w:type="dxa"/>
          </w:tcPr>
          <w:p>
            <w:pPr>
              <w:spacing w:after="0"/>
            </w:pPr>
            <w:r>
              <w:t xml:space="preserve">Fail-safe checkout, src tag, prefetch guard</w:t>
            </w:r>
          </w:p>
        </w:tc>
        <w:tc>
          <w:tcPr>
            <w:tcW w:w="4680" w:type="dxa"/>
          </w:tcPr>
          <w:p>
            <w:pPr>
              <w:spacing w:after="0"/>
            </w:pPr>
            <w:r>
              <w:rPr>
                <w:rFonts w:ascii="Consolas" w:hAnsi="Consolas"/>
              </w:rPr>
              <w:t xml:space="preserve">api/checkout.js</w:t>
            </w:r>
          </w:p>
        </w:tc>
      </w:tr>
      <w:tr>
        <w:tc>
          <w:tcPr>
            <w:tcW w:w="4680" w:type="dxa"/>
          </w:tcPr>
          <w:p>
            <w:pPr>
              <w:spacing w:after="0"/>
            </w:pPr>
            <w:r>
              <w:t xml:space="preserve">Owner bypass tags</w:t>
            </w:r>
          </w:p>
        </w:tc>
        <w:tc>
          <w:tcPr>
            <w:tcW w:w="4680" w:type="dxa"/>
          </w:tcPr>
          <w:p>
            <w:pPr>
              <w:spacing w:after="0"/>
            </w:pPr>
            <w:r>
              <w:rPr>
                <w:rFonts w:ascii="Consolas" w:hAnsi="Consolas"/>
              </w:rPr>
              <w:t xml:space="preserve">api/checkout.js</w:t>
            </w:r>
            <w:r>
              <w:t xml:space="preserve"> </w:t>
            </w:r>
            <w:r>
              <w:rPr>
                <w:rFonts w:ascii="Consolas" w:hAnsi="Consolas"/>
              </w:rPr>
              <w:t xml:space="preserve">CHECK_TAGS</w:t>
            </w:r>
          </w:p>
        </w:tc>
      </w:tr>
      <w:tr>
        <w:tc>
          <w:tcPr>
            <w:tcW w:w="4680" w:type="dxa"/>
          </w:tcPr>
          <w:p>
            <w:pPr>
              <w:spacing w:after="0"/>
            </w:pPr>
            <w:r>
              <w:t xml:space="preserve">13 checkout clicks, all unconfigured, $6,500</w:t>
            </w:r>
          </w:p>
        </w:tc>
        <w:tc>
          <w:tcPr>
            <w:tcW w:w="4680" w:type="dxa"/>
          </w:tcPr>
          <w:p>
            <w:pPr>
              <w:spacing w:after="0"/>
            </w:pPr>
            <w:r>
              <w:rPr>
                <w:rFonts w:ascii="Consolas" w:hAnsi="Consolas"/>
              </w:rPr>
              <w:t xml:space="preserve">interaction_events</w:t>
            </w:r>
            <w:r>
              <w:t xml:space="preserve">, source=checkout-click</w:t>
            </w:r>
          </w:p>
        </w:tc>
      </w:tr>
      <w:tr>
        <w:tc>
          <w:tcPr>
            <w:tcW w:w="4680" w:type="dxa"/>
          </w:tcPr>
          <w:p>
            <w:pPr>
              <w:spacing w:after="0"/>
            </w:pPr>
            <w:r>
              <w:t xml:space="preserve">1,238 total interaction events</w:t>
            </w:r>
          </w:p>
        </w:tc>
        <w:tc>
          <w:tcPr>
            <w:tcW w:w="4680" w:type="dxa"/>
          </w:tcPr>
          <w:p>
            <w:pPr>
              <w:spacing w:after="0"/>
            </w:pPr>
            <w:r>
              <w:rPr>
                <w:rFonts w:ascii="Consolas" w:hAnsi="Consolas"/>
              </w:rPr>
              <w:t xml:space="preserve">interaction_events</w:t>
            </w:r>
            <w:r>
              <w:t xml:space="preserve"> exact count</w:t>
            </w:r>
          </w:p>
        </w:tc>
      </w:tr>
      <w:tr>
        <w:tc>
          <w:tcPr>
            <w:tcW w:w="4680" w:type="dxa"/>
          </w:tcPr>
          <w:p>
            <w:pPr>
              <w:spacing w:after="0"/>
            </w:pPr>
            <w:r>
              <w:t xml:space="preserve">245 pdf-dl / 195 kit-dl / 145 gate-view / 112 support / 105 guide-dl</w:t>
            </w:r>
          </w:p>
        </w:tc>
        <w:tc>
          <w:tcPr>
            <w:tcW w:w="4680" w:type="dxa"/>
          </w:tcPr>
          <w:p>
            <w:pPr>
              <w:spacing w:after="0"/>
            </w:pPr>
            <w:r>
              <w:rPr>
                <w:rFonts w:ascii="Consolas" w:hAnsi="Consolas"/>
              </w:rPr>
              <w:t xml:space="preserve">interaction_events</w:t>
            </w:r>
            <w:r>
              <w:t xml:space="preserve"> exact counts</w:t>
            </w:r>
          </w:p>
        </w:tc>
      </w:tr>
      <w:tr>
        <w:tc>
          <w:tcPr>
            <w:tcW w:w="4680" w:type="dxa"/>
          </w:tcPr>
          <w:p>
            <w:pPr>
              <w:spacing w:after="0"/>
            </w:pPr>
            <w:r>
              <w:t xml:space="preserve">PDF alias map</w:t>
            </w:r>
          </w:p>
        </w:tc>
        <w:tc>
          <w:tcPr>
            <w:tcW w:w="4680" w:type="dxa"/>
          </w:tcPr>
          <w:p>
            <w:pPr>
              <w:spacing w:after="0"/>
            </w:pPr>
            <w:r>
              <w:rPr>
                <w:rFonts w:ascii="Consolas" w:hAnsi="Consolas"/>
              </w:rPr>
              <w:t xml:space="preserve">api/dl.js:44</w:t>
            </w:r>
          </w:p>
        </w:tc>
      </w:tr>
      <w:tr>
        <w:tc>
          <w:tcPr>
            <w:tcW w:w="4680" w:type="dxa"/>
          </w:tcPr>
          <w:p>
            <w:pPr>
              <w:spacing w:after="0"/>
            </w:pPr>
            <w:r>
              <w:t xml:space="preserve">PDF analytics label</w:t>
            </w:r>
          </w:p>
        </w:tc>
        <w:tc>
          <w:tcPr>
            <w:tcW w:w="4680" w:type="dxa"/>
          </w:tcPr>
          <w:p>
            <w:pPr>
              <w:spacing w:after="0"/>
            </w:pPr>
            <w:r>
              <w:rPr>
                <w:rFonts w:ascii="Consolas" w:hAnsi="Consolas"/>
              </w:rPr>
              <w:t xml:space="preserve">api/geo-stats.js:24</w:t>
            </w:r>
          </w:p>
        </w:tc>
      </w:tr>
      <w:tr>
        <w:tc>
          <w:tcPr>
            <w:tcW w:w="4680" w:type="dxa"/>
          </w:tcPr>
          <w:p>
            <w:pPr>
              <w:spacing w:after="0"/>
            </w:pPr>
            <w:r>
              <w:t xml:space="preserve">PDF links on training</w:t>
            </w:r>
          </w:p>
        </w:tc>
        <w:tc>
          <w:tcPr>
            <w:tcW w:w="4680" w:type="dxa"/>
          </w:tcPr>
          <w:p>
            <w:pPr>
              <w:spacing w:after="0"/>
            </w:pPr>
            <w:r>
              <w:rPr>
                <w:rFonts w:ascii="Consolas" w:hAnsi="Consolas"/>
              </w:rPr>
              <w:t xml:space="preserve">training.html:1755</w:t>
            </w:r>
            <w:r>
              <w:t xml:space="preserve">, </w:t>
            </w:r>
            <w:r>
              <w:rPr>
                <w:rFonts w:ascii="Consolas" w:hAnsi="Consolas"/>
              </w:rPr>
              <w:t xml:space="preserve">:1797</w:t>
            </w:r>
            <w:r>
              <w:t xml:space="preserve">, </w:t>
            </w:r>
            <w:r>
              <w:rPr>
                <w:rFonts w:ascii="Consolas" w:hAnsi="Consolas"/>
              </w:rPr>
              <w:t xml:space="preserve">:2983-3020</w:t>
            </w:r>
          </w:p>
        </w:tc>
      </w:tr>
      <w:tr>
        <w:tc>
          <w:tcPr>
            <w:tcW w:w="4680" w:type="dxa"/>
          </w:tcPr>
          <w:p>
            <w:pPr>
              <w:spacing w:after="0"/>
            </w:pPr>
            <w:r>
              <w:t xml:space="preserve">Bench scorer withholds key and per-record results</w:t>
            </w:r>
          </w:p>
        </w:tc>
        <w:tc>
          <w:tcPr>
            <w:tcW w:w="4680" w:type="dxa"/>
          </w:tcPr>
          <w:p>
            <w:pPr>
              <w:spacing w:after="0"/>
            </w:pPr>
            <w:r>
              <w:rPr>
                <w:rFonts w:ascii="Consolas" w:hAnsi="Consolas"/>
              </w:rPr>
              <w:t xml:space="preserve">api/bench-score.js:3-14</w:t>
            </w:r>
          </w:p>
        </w:tc>
      </w:tr>
      <w:tr>
        <w:tc>
          <w:tcPr>
            <w:tcW w:w="4680" w:type="dxa"/>
          </w:tcPr>
          <w:p>
            <w:pPr>
              <w:spacing w:after="0"/>
            </w:pPr>
            <w:r>
              <w:t xml:space="preserve">Entity-type prohibition</w:t>
            </w:r>
          </w:p>
        </w:tc>
        <w:tc>
          <w:tcPr>
            <w:tcW w:w="4680" w:type="dxa"/>
          </w:tcPr>
          <w:p>
            <w:pPr>
              <w:spacing w:after="0"/>
            </w:pPr>
            <w:r>
              <w:rPr>
                <w:rFonts w:ascii="Consolas" w:hAnsi="Consolas"/>
              </w:rPr>
              <w:t xml:space="preserve">SURGICAL_REMEDIATION_PROMPT.md:68</w:t>
            </w:r>
          </w:p>
        </w:tc>
      </w:tr>
      <w:tr>
        <w:tc>
          <w:tcPr>
            <w:tcW w:w="4680" w:type="dxa"/>
          </w:tcPr>
          <w:p>
            <w:pPr>
              <w:spacing w:after="0"/>
            </w:pPr>
            <w:r>
              <w:t xml:space="preserve">Compliance non-establishment clauses</w:t>
            </w:r>
          </w:p>
        </w:tc>
        <w:tc>
          <w:tcPr>
            <w:tcW w:w="4680" w:type="dxa"/>
          </w:tcPr>
          <w:p>
            <w:pPr>
              <w:spacing w:after="0"/>
            </w:pPr>
            <w:r>
              <w:rPr>
                <w:rFonts w:ascii="Consolas" w:hAnsi="Consolas"/>
              </w:rPr>
              <w:t xml:space="preserve">terms.html:139</w:t>
            </w:r>
            <w:r>
              <w:t xml:space="preserve">, </w:t>
            </w:r>
            <w:r>
              <w:rPr>
                <w:rFonts w:ascii="Consolas" w:hAnsi="Consolas"/>
              </w:rPr>
              <w:t xml:space="preserve">engagement.html:176</w:t>
            </w:r>
            <w:r>
              <w:t xml:space="preserve">, </w:t>
            </w:r>
            <w:r>
              <w:rPr>
                <w:rFonts w:ascii="Consolas" w:hAnsi="Consolas"/>
              </w:rPr>
              <w:t xml:space="preserve">enterprise.html:295</w:t>
            </w:r>
            <w:r>
              <w:t xml:space="preserve">, </w:t>
            </w:r>
            <w:r>
              <w:rPr>
                <w:rFonts w:ascii="Consolas" w:hAnsi="Consolas"/>
              </w:rPr>
              <w:t xml:space="preserve">check.html:186</w:t>
            </w:r>
          </w:p>
        </w:tc>
      </w:tr>
    </w:tbl>
    <w:p>
      <w:pPr/>
      <w:r>
        <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