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Message to Stacyann Young — 2026-08-28</w:t>
      </w:r>
    </w:p>
    <w:p>
      <w:pPr>
        <w:spacing w:after="140"/>
      </w:pPr>
      <w:r>
        <w:rPr>
          <w:b/>
        </w:rPr>
        <w:t xml:space="preserve">Subject: Your second reader came through, and the paper is stronger for it</w:t>
      </w:r>
    </w:p>
    <w:p>
      <w:pPr>
        <w:spacing w:after="140"/>
      </w:pPr>
      <w:r>
        <w:t xml:space="preserve">Hi Stacyann,</w:t>
      </w:r>
    </w:p>
    <w:p>
      <w:pPr>
        <w:spacing w:after="140"/>
      </w:pPr>
      <w:r>
        <w:t xml:space="preserve">Two pieces of news, one of them the answer to the question I asked you last week.</w:t>
      </w:r>
    </w:p>
    <w:p>
      <w:pPr>
        <w:spacing w:after="140"/>
      </w:pPr>
      <w:r>
        <w:rPr>
          <w:b/>
        </w:rPr>
        <w:t xml:space="preserve">Your friend completed the blind re-read.</w:t>
      </w:r>
      <w:r>
        <w:t xml:space="preserve"> He returned all ten cases on 28 August, having seen only the public source for each one: not my read, not my basis note, not the outcome, not how the reads were distributed across the set. He recorded his prior familiarity with the instrument as none.</w:t>
      </w:r>
    </w:p>
    <w:p>
      <w:pPr>
        <w:spacing w:after="140"/>
      </w:pPr>
      <w:r>
        <w:t xml:space="preserve">The two reads agreed on </w:t>
      </w:r>
      <w:r>
        <w:rPr>
          <w:b/>
        </w:rPr>
        <w:t xml:space="preserve">7 of 10, 70.0 percent</w:t>
      </w:r>
      <w:r>
        <w:t xml:space="preserve">. Cohen's kappa is </w:t>
      </w:r>
      <w:r>
        <w:rPr>
          <w:b/>
        </w:rPr>
        <w:t xml:space="preserve">0.474</w:t>
      </w:r>
      <w:r>
        <w:t xml:space="preserve"> unweighted and </w:t>
      </w:r>
      <w:r>
        <w:rPr>
          <w:b/>
        </w:rPr>
        <w:t xml:space="preserve">0.559</w:t>
      </w:r>
      <w:r>
        <w:t xml:space="preserve"> linear weighted; Gwet's AC1 is </w:t>
      </w:r>
      <w:r>
        <w:rPr>
          <w:b/>
        </w:rPr>
        <w:t xml:space="preserve">0.582</w:t>
      </w:r>
      <w:r>
        <w:t xml:space="preserve">. I report the unweighted figure first in the paper because it is the lowest of the three, and choosing the most flattering coefficient after seeing the data is exactly what a reviewer looks for.</w:t>
      </w:r>
    </w:p>
    <w:p>
      <w:pPr>
        <w:spacing w:after="140"/>
      </w:pPr>
      <w:r>
        <w:rPr>
          <w:b/>
        </w:rPr>
        <w:t xml:space="preserve">The shape of the disagreement matters more than the headline.</w:t>
      </w:r>
      <w:r>
        <w:t xml:space="preserve"> All 3 disagreements were between adjacent categories. Not one was a Ready against a Gap. He was stricter than me on two cases and more lenient on one, and every disagreement sits on the Ready and Needs work boundary, which is the boundary the instrument is least sharp about. The single Gap read, the one that carries the operational consequence, he reproduced exactly.</w:t>
      </w:r>
    </w:p>
    <w:p>
      <w:pPr>
        <w:spacing w:after="140"/>
      </w:pPr>
      <w:r>
        <w:t xml:space="preserve">That does not retire the single-reviewer limitation and I have not written it as though it did. Ten of thirty-two is not thirty-two, 0.474 is moderate rather than strong, and one reader is not a panel. Section 7 says all three of those things plainly. What it does do is remove the referee's easiest objection: the read is no longer demonstrably one person's habit.</w:t>
      </w:r>
    </w:p>
    <w:p>
      <w:pPr>
        <w:spacing w:after="140"/>
      </w:pPr>
      <w:r>
        <w:rPr>
          <w:b/>
        </w:rPr>
        <w:t xml:space="preserve">I have also made a round of corrections to the manuscript.</w:t>
      </w:r>
      <w:r>
        <w:t xml:space="preserve"> Every one of your nine edits is intact and none was touched. What changed:</w:t>
      </w:r>
    </w:p>
    <w:p>
      <w:pPr>
        <w:numPr>
          <w:ilvl w:val="0"/>
          <w:numId w:val="1"/>
        </w:numPr>
        <w:spacing w:after="60"/>
      </w:pPr>
      <w:r>
        <w:t xml:space="preserve">The construct table in Section 5.3 was drawn on all 27 case-level sources, but only 24 of them carry a contemporaneous note. Three cases with no note were sitting in the "not stated" column, and a case with no note cannot be coded for what its note says. Restricting the table to the 24 that carry a note </w:t>
      </w:r>
      <w:r>
        <w:rPr>
          <w:b/>
        </w:rPr>
        <w:t xml:space="preserve">strengthens the result</w:t>
      </w:r>
      <w:r>
        <w:t xml:space="preserve">: p moves from 0.00028 to 0.0000520.</w:t>
      </w:r>
    </w:p>
    <w:p>
      <w:pPr>
        <w:numPr>
          <w:ilvl w:val="0"/>
          <w:numId w:val="1"/>
        </w:numPr>
        <w:spacing w:after="60"/>
      </w:pPr>
      <w:r>
        <w:t xml:space="preserve">"Independent adjudicator" became "independent government auditor" throughout. The five comparison sources are Comptroller audits, not adjudications, and a records professional would have caught that.</w:t>
      </w:r>
    </w:p>
    <w:p>
      <w:pPr>
        <w:numPr>
          <w:ilvl w:val="0"/>
          <w:numId w:val="1"/>
        </w:numPr>
        <w:spacing w:after="60"/>
      </w:pPr>
      <w:r>
        <w:t xml:space="preserve">The cross-domain citation in Section 5.6 was quoting the employment study's screened 22-case set. That study excluded two matters and analyses 20, and one of the two it excluded is a public-records advisory opinion. Corrected to the 20-case figures.</w:t>
      </w:r>
    </w:p>
    <w:p>
      <w:pPr>
        <w:numPr>
          <w:ilvl w:val="0"/>
          <w:numId w:val="1"/>
        </w:numPr>
        <w:spacing w:after="60"/>
      </w:pPr>
      <w:r>
        <w:t xml:space="preserve">Two claims were calibrated down: "that answers the third research question" became preliminary evidence, and "the pilot establishes three things" became provides evidence for three propositions.</w:t>
      </w:r>
    </w:p>
    <w:p>
      <w:pPr>
        <w:numPr>
          <w:ilvl w:val="0"/>
          <w:numId w:val="1"/>
        </w:numPr>
        <w:spacing w:after="60"/>
      </w:pPr>
      <w:r>
        <w:t xml:space="preserve">The abstract's validity claim was softened to "preliminary evidence that the read responds to the reconstructability property it is designed to assess", which is more defensible at n = 32 with one primary reviewer.</w:t>
      </w:r>
    </w:p>
    <w:p>
      <w:pPr>
        <w:numPr>
          <w:ilvl w:val="0"/>
          <w:numId w:val="1"/>
        </w:numPr>
        <w:spacing w:after="60"/>
      </w:pPr>
      <w:r>
        <w:t xml:space="preserve">An unsupported causal implication came out of the introduction.</w:t>
      </w:r>
    </w:p>
    <w:p>
      <w:pPr>
        <w:spacing w:after="140"/>
      </w:pPr>
      <w:r>
        <w:rPr>
          <w:b/>
        </w:rPr>
        <w:t xml:space="preserve">The two Council emails are updated to match.</w:t>
      </w:r>
      <w:r>
        <w:t xml:space="preserve"> They carry the second-read result as a fourth finding, the corrected construct figures, and the corrected employment numbers. Every empirical claim in them now verifies against the manuscripts automatically.</w:t>
      </w:r>
    </w:p>
    <w:p>
      <w:pPr>
        <w:spacing w:after="140"/>
      </w:pPr>
      <w:r>
        <w:rPr>
          <w:b/>
        </w:rPr>
        <w:t xml:space="preserve">On sending them: I think you should send both emails yourself, from you alone.</w:t>
      </w:r>
      <w:r>
        <w:t xml:space="preserve"> They are addressed to a federal council and to a DOI attorney about public-records practice, and they are far stronger coming from someone with twenty years in New York City government and your certifications than from a joint signature. Your name, your capacity, your judgment about tone. Change anything in them you want changed; they are drafts for you, not instructions to you.</w:t>
      </w:r>
    </w:p>
    <w:p>
      <w:pPr>
        <w:spacing w:after="140"/>
      </w:pPr>
      <w:r>
        <w:rPr>
          <w:b/>
        </w:rPr>
        <w:t xml:space="preserve">I will handle the journal submission, once you give me final approval on the manuscript.</w:t>
      </w:r>
      <w:r>
        <w:t xml:space="preserve"> I would rather not send it while there is any part of it you would still want to move. Read it end to end and tell me what you want different, including anything in the sections I changed today.</w:t>
      </w:r>
    </w:p>
    <w:p>
      <w:pPr>
        <w:spacing w:after="140"/>
      </w:pPr>
      <w:r>
        <w:t xml:space="preserve">One open item, if you have any appetite for it: two further blind packets were prepared and never issued. A second and third reader on the same ten cases would let us report a chance-corrected figure with an interval worth quoting, rather than one built on ten cases. Entirely your call, and the paper submits perfectly well without it.</w:t>
      </w:r>
    </w:p>
    <w:p>
      <w:pPr>
        <w:spacing w:after="140"/>
      </w:pPr>
      <w:r>
        <w:t xml:space="preserve">Thank you for pushing on the second reader. It was the right thing to chase.</w:t>
      </w:r>
    </w:p>
    <w:p>
      <w:pPr>
        <w:spacing w:after="140"/>
      </w:pPr>
      <w:r>
        <w:t xml:space="preserve">Phillip</w:t>
      </w:r>
    </w:p>
    <w:p>
      <w:pPr>
        <w:pBdr>
          <w:bottom w:val="single" w:sz="6" w:space="1" w:color="AAAAAA"/>
        </w:pBdr>
      </w:pPr>
    </w:p>
    <w:p>
      <w:pPr>
        <w:spacing w:after="140"/>
      </w:pPr>
      <w:r>
        <w:t xml:space="preserve">Phillip Wikes info@jrsstandard.com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