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Reply to Ekta Viiveck Verma (Rastogi)</w:t>
      </w:r>
    </w:p>
    <w:p>
      <w:pPr>
        <w:spacing w:after="140"/>
      </w:pPr>
      <w:r>
        <w:rPr>
          <w:b/>
        </w:rPr>
        <w:t xml:space="preserve">Drafted 2026-08-13. LinkedIn direct message. She is a social advocate in India working on domestic violence and sexual harassment at the workplace.</w:t>
      </w:r>
    </w:p>
    <w:p>
      <w:pPr>
        <w:pBdr>
          <w:bottom w:val="single" w:sz="6" w:space="1" w:color="AAAAAA"/>
        </w:pBdr>
      </w:pPr>
    </w:p>
    <w:p>
      <w:pPr>
        <w:pStyle w:val="Heading2"/>
        <w:spacing w:after="140"/>
      </w:pPr>
      <w:r>
        <w:t xml:space="preserve">What she actually said, and why it deserves a straight answer</w:t>
      </w:r>
    </w:p>
    <w:p>
      <w:pPr>
        <w:spacing w:after="140"/>
      </w:pPr>
      <w:r>
        <w:t xml:space="preserve">Three distinct points, all reasonable:</w:t>
      </w:r>
    </w:p>
    <w:p>
      <w:pPr>
        <w:numPr>
          <w:ilvl w:val="0"/>
          <w:numId w:val="2"/>
        </w:numPr>
        <w:spacing w:after="60"/>
      </w:pPr>
      <w:r>
        <w:rPr>
          <w:b/>
        </w:rPr>
        <w:t xml:space="preserve">"I am not involved in conducting investigations."</w:t>
      </w:r>
      <w:r>
        <w:t xml:space="preserve"> If true in the literal sense, JRS may genuinely not be for her. It reviews records made by people who decide things.</w:t>
      </w:r>
    </w:p>
    <w:p>
      <w:pPr>
        <w:numPr>
          <w:ilvl w:val="0"/>
          <w:numId w:val="2"/>
        </w:numPr>
        <w:spacing w:after="60"/>
      </w:pPr>
      <w:r>
        <w:rPr>
          <w:b/>
        </w:rPr>
        <w:t xml:space="preserve">"India has its own legal and procedural frameworks."</w:t>
      </w:r>
      <w:r>
        <w:t xml:space="preserve"> Correct, and she knows them better than you do.</w:t>
      </w:r>
    </w:p>
    <w:p>
      <w:pPr>
        <w:numPr>
          <w:ilvl w:val="0"/>
          <w:numId w:val="2"/>
        </w:numPr>
        <w:spacing w:after="60"/>
      </w:pPr>
      <w:r>
        <w:rPr>
          <w:b/>
        </w:rPr>
        <w:t xml:space="preserve">"I would like to understand its practical relevance to my work before considering it further."</w:t>
      </w:r>
      <w:r>
        <w:t xml:space="preserve"> This is not a brush-off. It is the exact question a serious person asks, and it deserves a real answer including "it may not be relevant."</w:t>
      </w:r>
    </w:p>
    <w:p>
      <w:pPr>
        <w:spacing w:after="140"/>
      </w:pPr>
      <w:r>
        <w:rPr>
          <w:b/>
        </w:rPr>
        <w:t xml:space="preserve">The temptation is to argue her into a fit. Do not.</w:t>
      </w:r>
      <w:r>
        <w:t xml:space="preserve"> She is a credible person who asked a precise question. The reply that earns respect is the one that concedes the parts she is right about.</w:t>
      </w:r>
    </w:p>
    <w:p>
      <w:pPr>
        <w:pBdr>
          <w:bottom w:val="single" w:sz="6" w:space="1" w:color="AAAAAA"/>
        </w:pBdr>
      </w:pPr>
    </w:p>
    <w:p>
      <w:pPr>
        <w:pStyle w:val="Heading2"/>
        <w:spacing w:after="140"/>
      </w:pPr>
      <w:r>
        <w:t xml:space="preserve">The two facts you can offer that are not a pitch</w:t>
      </w:r>
    </w:p>
    <w:p>
      <w:pPr>
        <w:spacing w:after="140"/>
      </w:pPr>
      <w:r>
        <w:rPr>
          <w:b/>
        </w:rPr>
        <w:t xml:space="preserve">1. Indian practitioners are already on the panel and finished the full set.</w:t>
      </w:r>
      <w:r>
        <w:t xml:space="preserve"> Not as a name-drop, but because it answers her actual concern about the Indian context directly:</w:t>
      </w:r>
    </w:p>
    <w:p>
      <w:pPr>
        <w:numPr>
          <w:ilvl w:val="0"/>
          <w:numId w:val="1"/>
        </w:numPr>
        <w:spacing w:after="60"/>
      </w:pPr>
      <w:r>
        <w:t xml:space="preserve">An </w:t>
      </w:r>
      <w:r>
        <w:rPr>
          <w:b/>
        </w:rPr>
        <w:t xml:space="preserve">Advocate of the High Court of Delhi</w:t>
      </w:r>
      <w:r>
        <w:t xml:space="preserve">, 13 years, partner in his firm</w:t>
      </w:r>
    </w:p>
    <w:p>
      <w:pPr>
        <w:numPr>
          <w:ilvl w:val="0"/>
          <w:numId w:val="1"/>
        </w:numPr>
        <w:spacing w:after="60"/>
      </w:pPr>
      <w:r>
        <w:t xml:space="preserve">A </w:t>
      </w:r>
      <w:r>
        <w:rPr>
          <w:b/>
        </w:rPr>
        <w:t xml:space="preserve">Chief Human Resources Officer</w:t>
      </w:r>
      <w:r>
        <w:t xml:space="preserve"> with 38 years in HR and industrial relations</w:t>
      </w:r>
    </w:p>
    <w:p>
      <w:pPr>
        <w:numPr>
          <w:ilvl w:val="0"/>
          <w:numId w:val="1"/>
        </w:numPr>
        <w:spacing w:after="60"/>
      </w:pPr>
      <w:r>
        <w:t xml:space="preserve">An </w:t>
      </w:r>
      <w:r>
        <w:rPr>
          <w:b/>
        </w:rPr>
        <w:t xml:space="preserve">Ethics and Compliance Leader</w:t>
      </w:r>
      <w:r>
        <w:t xml:space="preserve"> at a large multinational's India operation, 17 years across legal, compliance and investigations</w:t>
      </w:r>
    </w:p>
    <w:p>
      <w:pPr>
        <w:numPr>
          <w:ilvl w:val="0"/>
          <w:numId w:val="1"/>
        </w:numPr>
        <w:spacing w:after="60"/>
      </w:pPr>
      <w:r>
        <w:t xml:space="preserve">Plus four more, </w:t>
      </w:r>
      <w:r>
        <w:rPr>
          <w:b/>
        </w:rPr>
        <w:t xml:space="preserve">eight Indian reviewers in total</w:t>
      </w:r>
    </w:p>
    <w:p>
      <w:pPr>
        <w:spacing w:after="140"/>
      </w:pPr>
      <w:r>
        <w:rPr>
          <w:b/>
        </w:rPr>
        <w:t xml:space="preserve">She is not being asked to evaluate a US instrument. Indian legal and HR practitioners already did.</w:t>
      </w:r>
    </w:p>
    <w:p>
      <w:pPr>
        <w:spacing w:after="140"/>
      </w:pPr>
      <w:r>
        <w:rPr>
          <w:b/>
        </w:rPr>
        <w:t xml:space="preserve">2. There is an International edition of the Field Guide.</w:t>
      </w:r>
      <w:r>
        <w:t xml:space="preserve"> It exists precisely because the US editions do not travel.</w:t>
      </w:r>
    </w:p>
    <w:p>
      <w:pPr>
        <w:pBdr>
          <w:bottom w:val="single" w:sz="6" w:space="1" w:color="AAAAAA"/>
        </w:pBdr>
      </w:pPr>
    </w:p>
    <w:p>
      <w:pPr>
        <w:pStyle w:val="Heading2"/>
        <w:spacing w:after="140"/>
      </w:pPr>
      <w:r>
        <w:t xml:space="preserve">The one honest hook, framed as a question, not a claim</w:t>
      </w:r>
    </w:p>
    <w:p>
      <w:pPr>
        <w:spacing w:after="140"/>
      </w:pPr>
      <w:r>
        <w:rPr>
          <w:b/>
        </w:rPr>
        <w:t xml:space="preserve">Do not tell an Indian advocate how Indian law works.</w:t>
      </w:r>
      <w:r>
        <w:t xml:space="preserve"> Ask.</w:t>
      </w:r>
    </w:p>
    <w:p>
      <w:pPr>
        <w:spacing w:after="140"/>
      </w:pPr>
      <w:r>
        <w:t xml:space="preserve">Her field is workplace sexual harassment. In that field there is a body that conducts an inquiry and produces a written finding. </w:t>
      </w:r>
      <w:r>
        <w:rPr>
          <w:b/>
        </w:rPr>
        <w:t xml:space="preserve">Whether that record can later explain why the finding was reached is exactly what JRS measures</w:t>
      </w:r>
      <w:r>
        <w:t xml:space="preserve">, and it matters most to the person who was complained about or the person who complained, neither of whom sees the deliberation.</w:t>
      </w:r>
    </w:p>
    <w:p>
      <w:pPr>
        <w:spacing w:after="140"/>
      </w:pPr>
      <w:r>
        <w:rPr>
          <w:b/>
        </w:rPr>
        <w:t xml:space="preserve">Frame it as: does this problem exist in the matters you support? You would know and I would not.</w:t>
      </w:r>
    </w:p>
    <w:p>
      <w:pPr>
        <w:spacing w:after="140"/>
      </w:pPr>
      <w:r>
        <w:t xml:space="preserve">That is honest, it is genuinely her expertise, and if the answer is no, you have lost nothing and she will respect the asking.</w:t>
      </w:r>
    </w:p>
    <w:p>
      <w:pPr>
        <w:pBdr>
          <w:bottom w:val="single" w:sz="6" w:space="1" w:color="AAAAAA"/>
        </w:pBdr>
      </w:pPr>
    </w:p>
    <w:p>
      <w:pPr>
        <w:pStyle w:val="Heading2"/>
        <w:spacing w:after="140"/>
      </w:pPr>
      <w:r>
        <w:t xml:space="preserve">The reply</w:t>
      </w:r>
    </w:p>
    <w:p>
      <w:pPr>
        <w:spacing w:after="140"/>
      </w:pPr>
      <w:r>
        <w:rPr>
          <w:b/>
        </w:rPr>
        <w:t xml:space="preserve">Send as one message. Do not paste verbatim; type it so it reads as yours.</w:t>
      </w:r>
    </w:p>
    <w:p>
      <w:pPr>
        <w:pBdr>
          <w:bottom w:val="single" w:sz="6" w:space="1" w:color="AAAAAA"/>
        </w:pBdr>
      </w:pPr>
    </w:p>
    <w:p>
      <w:pPr>
        <w:spacing w:after="140"/>
      </w:pPr>
      <w:r>
        <w:t xml:space="preserve">Hi Ekta, thank you for such a considered reply, and for being direct about the fit. That is more useful to me than a polite yes.</w:t>
      </w:r>
    </w:p>
    <w:p>
      <w:pPr>
        <w:spacing w:after="140"/>
      </w:pPr>
      <w:r>
        <w:t xml:space="preserve">You are right on the first point. JRS reviews records written by people who make findings, so if you are not in that seat it may not be for you, and I would rather say that than talk you into it.</w:t>
      </w:r>
    </w:p>
    <w:p>
      <w:pPr>
        <w:spacing w:after="140"/>
      </w:pPr>
      <w:r>
        <w:t xml:space="preserve">On the Indian context, one thing worth knowing: eight Indian practitioners have already completed the full review set, including an Advocate of the High Court of Delhi, a CHRO with 38 years in HR and industrial relations, and a compliance leader at a large multinational's India operations. There is also an International edition of the Field Guide, written because the US editions do not travel. So this is not a US instrument being tried out on you.</w:t>
      </w:r>
    </w:p>
    <w:p>
      <w:pPr>
        <w:spacing w:after="140"/>
      </w:pPr>
      <w:r>
        <w:t xml:space="preserve">The one place I wonder if it touches your work, and you would know and I would not: in the matters you support, a committee conducts an inquiry and writes a finding. Months later, if someone asks why that finding was reached, does the written record actually explain it, or does it just record the conclusion? That gap is the only thing JRS measures. It is not about whether the decision was right.</w:t>
      </w:r>
    </w:p>
    <w:p>
      <w:pPr>
        <w:spacing w:after="140"/>
      </w:pPr>
      <w:r>
        <w:t xml:space="preserve">If that problem does not show up in what you see, then it is not relevant to your work and I will say so plainly. If it does, I would genuinely value your read on it from the advocacy side, which is a perspective the panel does not have.</w:t>
      </w:r>
    </w:p>
    <w:p>
      <w:pPr>
        <w:spacing w:after="140"/>
      </w:pPr>
      <w:r>
        <w:t xml:space="preserve">Either answer is a good answer. Thank you for engaging seriously with it.</w:t>
      </w:r>
    </w:p>
    <w:p>
      <w:pPr>
        <w:spacing w:after="140"/>
      </w:pPr>
      <w:r>
        <w:t xml:space="preserve">Phillip</w:t>
      </w:r>
    </w:p>
    <w:p>
      <w:pPr>
        <w:pBdr>
          <w:bottom w:val="single" w:sz="6" w:space="1" w:color="AAAAAA"/>
        </w:pBdr>
      </w:pPr>
    </w:p>
    <w:p>
      <w:pPr>
        <w:pStyle w:val="Heading2"/>
        <w:spacing w:after="140"/>
      </w:pPr>
      <w:r>
        <w:t xml:space="preserve">Why it is built this way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Move</w:t>
            </w:r>
          </w:p>
        </w:tc>
        <w:tc>
          <w:tcPr>
            <w:tcW w:w="4680" w:type="dxa"/>
          </w:tcPr>
          <w:p>
            <w:pPr>
              <w:spacing w:after="0"/>
            </w:pPr>
            <w:r>
              <w:t xml:space="preserve">Reason</w:t>
            </w:r>
          </w:p>
        </w:tc>
      </w:tr>
      <w:tr>
        <w:tc>
          <w:tcPr>
            <w:tcW w:w="4680" w:type="dxa"/>
          </w:tcPr>
          <w:p>
            <w:pPr>
              <w:spacing w:after="0"/>
            </w:pPr>
            <w:r>
              <w:t xml:space="preserve">Concedes her first point in the second paragraph</w:t>
            </w:r>
          </w:p>
        </w:tc>
        <w:tc>
          <w:tcPr>
            <w:tcW w:w="4680" w:type="dxa"/>
          </w:tcPr>
          <w:p>
            <w:pPr>
              <w:spacing w:after="0"/>
            </w:pPr>
            <w:r>
              <w:t xml:space="preserve">She raised it first and it is her strongest. Arguing it would end the conversation</w:t>
            </w:r>
          </w:p>
        </w:tc>
      </w:tr>
      <w:tr>
        <w:tc>
          <w:tcPr>
            <w:tcW w:w="4680" w:type="dxa"/>
          </w:tcPr>
          <w:p>
            <w:pPr>
              <w:spacing w:after="0"/>
            </w:pPr>
            <w:r>
              <w:t xml:space="preserve">Indian panel members named by role, not by name</w:t>
            </w:r>
          </w:p>
        </w:tc>
        <w:tc>
          <w:tcPr>
            <w:tcW w:w="4680" w:type="dxa"/>
          </w:tcPr>
          <w:p>
            <w:pPr>
              <w:spacing w:after="0"/>
            </w:pPr>
            <w:r>
              <w:t xml:space="preserve">Answers the Indian-context question with evidence. </w:t>
            </w:r>
            <w:r>
              <w:rPr>
                <w:b/>
              </w:rPr>
              <w:t xml:space="preserve">Names withheld: the roster must not be published while the comparison study is blind</w:t>
            </w:r>
          </w:p>
        </w:tc>
      </w:tr>
      <w:tr>
        <w:tc>
          <w:tcPr>
            <w:tcW w:w="4680" w:type="dxa"/>
          </w:tcPr>
          <w:p>
            <w:pPr>
              <w:spacing w:after="0"/>
            </w:pPr>
            <w:r>
              <w:t xml:space="preserve">The hook is a question, not a claim</w:t>
            </w:r>
          </w:p>
        </w:tc>
        <w:tc>
          <w:tcPr>
            <w:tcW w:w="4680" w:type="dxa"/>
          </w:tcPr>
          <w:p>
            <w:pPr>
              <w:spacing w:after="0"/>
            </w:pPr>
            <w:r>
              <w:t xml:space="preserve">She knows Indian procedure. Telling her about it would be condescending and you cannot verify the specifics</w:t>
            </w:r>
          </w:p>
        </w:tc>
      </w:tr>
      <w:tr>
        <w:tc>
          <w:tcPr>
            <w:tcW w:w="4680" w:type="dxa"/>
          </w:tcPr>
          <w:p>
            <w:pPr>
              <w:spacing w:after="0"/>
            </w:pPr>
            <w:r>
              <w:t xml:space="preserve">"I would rather say that than talk you into it"</w:t>
            </w:r>
          </w:p>
        </w:tc>
        <w:tc>
          <w:tcPr>
            <w:tcW w:w="4680" w:type="dxa"/>
          </w:tcPr>
          <w:p>
            <w:pPr>
              <w:spacing w:after="0"/>
            </w:pPr>
            <w:r>
              <w:t xml:space="preserve">The single most trust-building line in the message</w:t>
            </w:r>
          </w:p>
        </w:tc>
      </w:tr>
      <w:tr>
        <w:tc>
          <w:tcPr>
            <w:tcW w:w="4680" w:type="dxa"/>
          </w:tcPr>
          <w:p>
            <w:pPr>
              <w:spacing w:after="0"/>
            </w:pPr>
            <w:r>
              <w:rPr>
                <w:b/>
              </w:rPr>
              <w:t xml:space="preserve">No ask at all</w:t>
            </w:r>
          </w:p>
        </w:tc>
        <w:tc>
          <w:tcPr>
            <w:tcW w:w="4680" w:type="dxa"/>
          </w:tcPr>
          <w:p>
            <w:pPr>
              <w:spacing w:after="0"/>
            </w:pPr>
            <w:r>
              <w:t xml:space="preserve">She has not agreed to anything. An ask here converts a real conversation into a pitch</w:t>
            </w:r>
          </w:p>
        </w:tc>
      </w:tr>
      <w:tr>
        <w:tc>
          <w:tcPr>
            <w:tcW w:w="4680" w:type="dxa"/>
          </w:tcPr>
          <w:p>
            <w:pPr>
              <w:spacing w:after="0"/>
            </w:pPr>
            <w:r>
              <w:t xml:space="preserve">"Either answer is a good answer"</w:t>
            </w:r>
          </w:p>
        </w:tc>
        <w:tc>
          <w:tcPr>
            <w:tcW w:w="4680" w:type="dxa"/>
          </w:tcPr>
          <w:p>
            <w:pPr>
              <w:spacing w:after="0"/>
            </w:pPr>
            <w:r>
              <w:t xml:space="preserve">Makes no the cheapest possible reply, which is what gets an honest one</w:t>
            </w:r>
          </w:p>
        </w:tc>
      </w:tr>
    </w:tbl>
    <w:p>
      <w:pPr/>
      <w:r>
        <w:t/>
      </w:r>
    </w:p>
    <w:p>
      <w:pPr>
        <w:pBdr>
          <w:bottom w:val="single" w:sz="6" w:space="1" w:color="AAAAAA"/>
        </w:pBdr>
      </w:pPr>
    </w:p>
    <w:p>
      <w:pPr>
        <w:pStyle w:val="Heading2"/>
        <w:spacing w:after="140"/>
      </w:pPr>
      <w:r>
        <w:t xml:space="preserve">What NOT to do</w:t>
      </w:r>
    </w:p>
    <w:p>
      <w:pPr>
        <w:numPr>
          <w:ilvl w:val="0"/>
          <w:numId w:val="1"/>
        </w:numPr>
        <w:spacing w:after="60"/>
      </w:pPr>
      <w:r>
        <w:rPr>
          <w:b/>
        </w:rPr>
        <w:t xml:space="preserve">Do not send the training link.</w:t>
      </w:r>
      <w:r>
        <w:t xml:space="preserve"> She asked about relevance, not access. A link now reads as not having listened.</w:t>
      </w:r>
    </w:p>
    <w:p>
      <w:pPr>
        <w:numPr>
          <w:ilvl w:val="0"/>
          <w:numId w:val="1"/>
        </w:numPr>
        <w:spacing w:after="60"/>
      </w:pPr>
      <w:r>
        <w:rPr>
          <w:b/>
        </w:rPr>
        <w:t xml:space="preserve">Do not claim JRS fits Indian statutory procedure.</w:t>
      </w:r>
      <w:r>
        <w:t xml:space="preserve"> You cannot verify that and she can.</w:t>
      </w:r>
    </w:p>
    <w:p>
      <w:pPr>
        <w:numPr>
          <w:ilvl w:val="0"/>
          <w:numId w:val="1"/>
        </w:numPr>
        <w:spacing w:after="60"/>
      </w:pPr>
      <w:r>
        <w:rPr>
          <w:b/>
        </w:rPr>
        <w:t xml:space="preserve">Do not name the Indian reviewers.</w:t>
      </w:r>
      <w:r>
        <w:t xml:space="preserve"> The blind-study guardrail holds: naming an Arm A reviewer beside an Arm B reviewer in one message reveals who was in which study.</w:t>
      </w:r>
    </w:p>
    <w:p>
      <w:pPr>
        <w:numPr>
          <w:ilvl w:val="0"/>
          <w:numId w:val="1"/>
        </w:numPr>
        <w:spacing w:after="60"/>
      </w:pPr>
      <w:r>
        <w:rPr>
          <w:b/>
        </w:rPr>
        <w:t xml:space="preserve">Do not follow up if she does not reply.</w:t>
      </w:r>
      <w:r>
        <w:t xml:space="preserve"> One considered message, then leave it.</w:t>
      </w:r>
    </w:p>
    <w:p>
      <w:pPr>
        <w:pBdr>
          <w:bottom w:val="single" w:sz="6" w:space="1" w:color="AAAAAA"/>
        </w:pBdr>
      </w:pPr>
    </w:p>
    <w:p>
      <w:pPr>
        <w:pStyle w:val="Heading2"/>
        <w:spacing w:after="140"/>
      </w:pPr>
      <w:r>
        <w:t xml:space="preserve">Outstanding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Status</w:t>
            </w:r>
          </w:p>
        </w:tc>
      </w:tr>
      <w:tr>
        <w:tc>
          <w:tcPr>
            <w:tcW w:w="4680" w:type="dxa"/>
          </w:tcPr>
          <w:p>
            <w:pPr>
              <w:spacing w:after="0"/>
            </w:pPr>
            <w:r>
              <w:t xml:space="preserve">Whether her field's inquiry bodies produce written findings she sees</w:t>
            </w:r>
          </w:p>
        </w:tc>
        <w:tc>
          <w:tcPr>
            <w:tcW w:w="4680" w:type="dxa"/>
          </w:tcPr>
          <w:p>
            <w:pPr>
              <w:spacing w:after="0"/>
            </w:pPr>
            <w:r>
              <w:rPr>
                <w:b/>
              </w:rPr>
              <w:t xml:space="preserve">`[REQUIRES USER INPUT]`.</w:t>
            </w:r>
            <w:r>
              <w:t xml:space="preserve"> The message asks her rather than assuming</w:t>
            </w:r>
          </w:p>
        </w:tc>
      </w:tr>
      <w:tr>
        <w:tc>
          <w:tcPr>
            <w:tcW w:w="4680" w:type="dxa"/>
          </w:tcPr>
          <w:p>
            <w:pPr>
              <w:spacing w:after="0"/>
            </w:pPr>
            <w:r>
              <w:t xml:space="preserve">Her prior contact history</w:t>
            </w:r>
          </w:p>
        </w:tc>
        <w:tc>
          <w:tcPr>
            <w:tcW w:w="4680" w:type="dxa"/>
          </w:tcPr>
          <w:p>
            <w:pPr>
              <w:spacing w:after="0"/>
            </w:pPr>
            <w:r>
              <w:rPr>
                <w:b/>
              </w:rPr>
              <w:t xml:space="preserve">None found.</w:t>
            </w:r>
            <w:r>
              <w:t xml:space="preserve"> Entity search across the repository returned no record</w:t>
            </w:r>
          </w:p>
        </w:tc>
      </w:tr>
    </w:tbl>
    <w:p>
      <w:pPr/>
      <w:r>
        <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