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How to file JRS and DRR: step by step</w:t>
      </w:r>
    </w:p>
    <w:p>
      <w:pPr>
        <w:spacing w:after="140"/>
      </w:pPr>
      <w:r>
        <w:rPr>
          <w:b/>
        </w:rPr>
        <w:t xml:space="preserve">Prepared 2026-08-12 for Phillip Wikes. Fees and procedure verified against uspto.gov the same day.</w:t>
      </w:r>
    </w:p>
    <w:p>
      <w:pPr>
        <w:pBdr>
          <w:bottom w:val="single" w:sz="6" w:space="1" w:color="AAAAAA"/>
        </w:pBdr>
      </w:pPr>
    </w:p>
    <w:p>
      <w:pPr>
        <w:pStyle w:val="Heading2"/>
        <w:spacing w:after="140"/>
      </w:pPr>
      <w:r>
        <w:t xml:space="preserve">The one fact that makes this simple</w:t>
      </w:r>
    </w:p>
    <w:p>
      <w:pPr>
        <w:spacing w:after="140"/>
      </w:pPr>
      <w:r>
        <w:t xml:space="preserve">You have never sold anything. You dropped commercialization and did research only.</w:t>
      </w:r>
    </w:p>
    <w:p>
      <w:pPr>
        <w:spacing w:after="140"/>
      </w:pPr>
      <w:r>
        <w:t xml:space="preserve">That means </w:t>
      </w:r>
      <w:r>
        <w:rPr>
          <w:b/>
        </w:rPr>
        <w:t xml:space="preserve">you cannot file a use-based application, and you do not need to.</w:t>
      </w:r>
      <w:r>
        <w:t xml:space="preserve"> You file </w:t>
      </w:r>
      <w:r>
        <w:rPr>
          <w:b/>
        </w:rPr>
        <w:t xml:space="preserve">intent-to-use</w:t>
      </w:r>
      <w:r>
        <w:t xml:space="preserve">, called </w:t>
      </w:r>
      <w:r>
        <w:rPr>
          <w:b/>
        </w:rPr>
        <w:t xml:space="preserve">Section 1(b)</w:t>
      </w:r>
      <w:r>
        <w:t xml:space="preserve">.</w:t>
      </w:r>
    </w:p>
    <w:p>
      <w:pPr>
        <w:spacing w:after="140"/>
      </w:pPr>
      <w:r>
        <w:t xml:space="preserve">An intent-to-use application asks you for </w:t>
      </w:r>
      <w:r>
        <w:rPr>
          <w:b/>
        </w:rPr>
        <w:t xml:space="preserve">no dates and no proof of sales.</w:t>
      </w:r>
      <w:r>
        <w:t xml:space="preserve"> You swear one thing: that you honestly intend to use the mark in business later. That is it.</w:t>
      </w:r>
    </w:p>
    <w:p>
      <w:pPr>
        <w:spacing w:after="140"/>
      </w:pPr>
      <w:r>
        <w:t xml:space="preserve">So every blocker sitting in the dossier disappears: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Previously blocked on</w:t>
            </w:r>
          </w:p>
        </w:tc>
        <w:tc>
          <w:tcPr>
            <w:tcW w:w="4680" w:type="dxa"/>
          </w:tcPr>
          <w:p>
            <w:pPr>
              <w:spacing w:after="0"/>
            </w:pPr>
            <w:r>
              <w:t xml:space="preserve">Status now</w:t>
            </w:r>
          </w:p>
        </w:tc>
      </w:tr>
      <w:tr>
        <w:tc>
          <w:tcPr>
            <w:tcW w:w="4680" w:type="dxa"/>
          </w:tcPr>
          <w:p>
            <w:pPr>
              <w:spacing w:after="0"/>
            </w:pPr>
            <w:r>
              <w:t xml:space="preserve">First Use Anywhere date</w:t>
            </w:r>
          </w:p>
        </w:tc>
        <w:tc>
          <w:tcPr>
            <w:tcW w:w="4680" w:type="dxa"/>
          </w:tcPr>
          <w:p>
            <w:pPr>
              <w:spacing w:after="0"/>
            </w:pPr>
            <w:r>
              <w:rPr>
                <w:b/>
              </w:rPr>
              <w:t xml:space="preserve">Not required.</w:t>
            </w:r>
            <w:r>
              <w:t xml:space="preserve"> Section 1(b) does not ask for it</w:t>
            </w:r>
          </w:p>
        </w:tc>
      </w:tr>
      <w:tr>
        <w:tc>
          <w:tcPr>
            <w:tcW w:w="4680" w:type="dxa"/>
          </w:tcPr>
          <w:p>
            <w:pPr>
              <w:spacing w:after="0"/>
            </w:pPr>
            <w:r>
              <w:t xml:space="preserve">First Use in Commerce date</w:t>
            </w:r>
          </w:p>
        </w:tc>
        <w:tc>
          <w:tcPr>
            <w:tcW w:w="4680" w:type="dxa"/>
          </w:tcPr>
          <w:p>
            <w:pPr>
              <w:spacing w:after="0"/>
            </w:pPr>
            <w:r>
              <w:rPr>
                <w:b/>
              </w:rPr>
              <w:t xml:space="preserve">Not required.</w:t>
            </w:r>
            <w:r>
              <w:t xml:space="preserve"> Section 1(b) does not ask for it</w:t>
            </w:r>
          </w:p>
        </w:tc>
      </w:tr>
      <w:tr>
        <w:tc>
          <w:tcPr>
            <w:tcW w:w="4680" w:type="dxa"/>
          </w:tcPr>
          <w:p>
            <w:pPr>
              <w:spacing w:after="0"/>
            </w:pPr>
            <w:r>
              <w:t xml:space="preserve">Specimen showing the mark in use</w:t>
            </w:r>
          </w:p>
        </w:tc>
        <w:tc>
          <w:tcPr>
            <w:tcW w:w="4680" w:type="dxa"/>
          </w:tcPr>
          <w:p>
            <w:pPr>
              <w:spacing w:after="0"/>
            </w:pPr>
            <w:r>
              <w:rPr>
                <w:b/>
              </w:rPr>
              <w:t xml:space="preserve">Not required at filing</w:t>
            </w:r>
          </w:p>
        </w:tc>
      </w:tr>
    </w:tbl>
    <w:p>
      <w:pPr/>
      <w:r>
        <w:t/>
      </w:r>
    </w:p>
    <w:p>
      <w:pPr>
        <w:spacing w:after="140"/>
      </w:pPr>
      <w:r>
        <w:t xml:space="preserve">You are filing </w:t>
      </w:r>
      <w:r>
        <w:rPr>
          <w:b/>
        </w:rPr>
        <w:t xml:space="preserve">two separate applications</w:t>
      </w:r>
      <w:r>
        <w:t xml:space="preserve">, one per mark. One application can only cover one mark.</w:t>
      </w:r>
    </w:p>
    <w:p>
      <w:pPr>
        <w:pBdr>
          <w:bottom w:val="single" w:sz="6" w:space="1" w:color="AAAAAA"/>
        </w:pBdr>
      </w:pPr>
    </w:p>
    <w:p>
      <w:pPr>
        <w:pStyle w:val="Heading2"/>
        <w:spacing w:after="140"/>
      </w:pPr>
      <w:r>
        <w:t xml:space="preserve">What it costs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Item</w:t>
            </w:r>
          </w:p>
        </w:tc>
        <w:tc>
          <w:tcPr>
            <w:tcW w:w="4680" w:type="dxa"/>
          </w:tcPr>
          <w:p>
            <w:pPr>
              <w:spacing w:after="0"/>
            </w:pPr>
            <w:r>
              <w:t xml:space="preserve">Fee</w:t>
            </w:r>
          </w:p>
        </w:tc>
      </w:tr>
      <w:tr>
        <w:tc>
          <w:tcPr>
            <w:tcW w:w="4680" w:type="dxa"/>
          </w:tcPr>
          <w:p>
            <w:pPr>
              <w:spacing w:after="0"/>
            </w:pPr>
            <w:r>
              <w:t xml:space="preserve">Base application</w:t>
            </w:r>
          </w:p>
        </w:tc>
        <w:tc>
          <w:tcPr>
            <w:tcW w:w="4680" w:type="dxa"/>
          </w:tcPr>
          <w:p>
            <w:pPr>
              <w:spacing w:after="0"/>
            </w:pPr>
            <w:r>
              <w:rPr>
                <w:b/>
              </w:rPr>
              <w:t xml:space="preserve">$350 per class</w:t>
            </w:r>
          </w:p>
        </w:tc>
      </w:tr>
      <w:tr>
        <w:tc>
          <w:tcPr>
            <w:tcW w:w="4680" w:type="dxa"/>
          </w:tcPr>
          <w:p>
            <w:pPr>
              <w:spacing w:after="0"/>
            </w:pPr>
            <w:r>
              <w:t xml:space="preserve">Surcharge if you write your own description instead of picking from the ID Manual</w:t>
            </w:r>
          </w:p>
        </w:tc>
        <w:tc>
          <w:tcPr>
            <w:tcW w:w="4680" w:type="dxa"/>
          </w:tcPr>
          <w:p>
            <w:pPr>
              <w:spacing w:after="0"/>
            </w:pPr>
            <w:r>
              <w:t xml:space="preserve">+$200 per class</w:t>
            </w:r>
          </w:p>
        </w:tc>
      </w:tr>
      <w:tr>
        <w:tc>
          <w:tcPr>
            <w:tcW w:w="4680" w:type="dxa"/>
          </w:tcPr>
          <w:p>
            <w:pPr>
              <w:spacing w:after="0"/>
            </w:pPr>
            <w:r>
              <w:t xml:space="preserve">Surcharge if you leave required fields blank</w:t>
            </w:r>
          </w:p>
        </w:tc>
        <w:tc>
          <w:tcPr>
            <w:tcW w:w="4680" w:type="dxa"/>
          </w:tcPr>
          <w:p>
            <w:pPr>
              <w:spacing w:after="0"/>
            </w:pPr>
            <w:r>
              <w:t xml:space="preserve">+$100 per class</w:t>
            </w:r>
          </w:p>
        </w:tc>
      </w:tr>
    </w:tbl>
    <w:p>
      <w:pPr/>
      <w:r>
        <w:t/>
      </w:r>
    </w:p>
    <w:p>
      <w:pPr>
        <w:spacing w:after="140"/>
      </w:pPr>
      <w:r>
        <w:rPr>
          <w:b/>
        </w:rPr>
        <w:t xml:space="preserve">Pick your descriptions from the USPTO's pre-approved list and you pay $350 per class flat.</w:t>
      </w:r>
      <w:r>
        <w:t xml:space="preserve"> Step 4 covers this. It is the single biggest thing you can do to keep the cost down.</w:t>
      </w:r>
    </w:p>
    <w:p>
      <w:pPr>
        <w:spacing w:after="140"/>
      </w:pPr>
      <w:r>
        <w:rPr>
          <w:b/>
        </w:rPr>
        <w:t xml:space="preserve">Recommended plan: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Application</w:t>
            </w:r>
          </w:p>
        </w:tc>
        <w:tc>
          <w:tcPr>
            <w:tcW w:w="3120" w:type="dxa"/>
          </w:tcPr>
          <w:p>
            <w:pPr>
              <w:spacing w:after="0"/>
            </w:pPr>
            <w:r>
              <w:t xml:space="preserve">Class</w:t>
            </w:r>
          </w:p>
        </w:tc>
        <w:tc>
          <w:tcPr>
            <w:tcW w:w="3120" w:type="dxa"/>
          </w:tcPr>
          <w:p>
            <w:pPr>
              <w:spacing w:after="0"/>
            </w:pPr>
            <w:r>
              <w:t xml:space="preserve">Cost</w:t>
            </w:r>
          </w:p>
        </w:tc>
      </w:tr>
      <w:tr>
        <w:tc>
          <w:tcPr>
            <w:tcW w:w="3120" w:type="dxa"/>
          </w:tcPr>
          <w:p>
            <w:pPr>
              <w:spacing w:after="0"/>
            </w:pPr>
            <w:r>
              <w:t xml:space="preserve">JRS</w:t>
            </w:r>
          </w:p>
        </w:tc>
        <w:tc>
          <w:tcPr>
            <w:tcW w:w="3120" w:type="dxa"/>
          </w:tcPr>
          <w:p>
            <w:pPr>
              <w:spacing w:after="0"/>
            </w:pPr>
            <w:r>
              <w:t xml:space="preserve">042</w:t>
            </w:r>
          </w:p>
        </w:tc>
        <w:tc>
          <w:tcPr>
            <w:tcW w:w="3120" w:type="dxa"/>
          </w:tcPr>
          <w:p>
            <w:pPr>
              <w:spacing w:after="0"/>
            </w:pPr>
            <w:r>
              <w:t xml:space="preserve">$350</w:t>
            </w:r>
          </w:p>
        </w:tc>
      </w:tr>
      <w:tr>
        <w:tc>
          <w:tcPr>
            <w:tcW w:w="3120" w:type="dxa"/>
          </w:tcPr>
          <w:p>
            <w:pPr>
              <w:spacing w:after="0"/>
            </w:pPr>
            <w:r>
              <w:t xml:space="preserve">DRR</w:t>
            </w:r>
          </w:p>
        </w:tc>
        <w:tc>
          <w:tcPr>
            <w:tcW w:w="3120" w:type="dxa"/>
          </w:tcPr>
          <w:p>
            <w:pPr>
              <w:spacing w:after="0"/>
            </w:pPr>
            <w:r>
              <w:t xml:space="preserve">042</w:t>
            </w:r>
          </w:p>
        </w:tc>
        <w:tc>
          <w:tcPr>
            <w:tcW w:w="3120" w:type="dxa"/>
          </w:tcPr>
          <w:p>
            <w:pPr>
              <w:spacing w:after="0"/>
            </w:pPr>
            <w:r>
              <w:t xml:space="preserve">$350</w:t>
            </w:r>
          </w:p>
        </w:tc>
      </w:tr>
      <w:tr>
        <w:tc>
          <w:tcPr>
            <w:tcW w:w="3120" w:type="dxa"/>
          </w:tcPr>
          <w:p>
            <w:pPr>
              <w:spacing w:after="0"/>
            </w:pPr>
            <w:r>
              <w:rPr>
                <w:b/>
              </w:rPr>
              <w:t xml:space="preserve">Total</w:t>
            </w:r>
          </w:p>
        </w:tc>
        <w:tc>
          <w:tcPr>
            <w:tcW w:w="3120" w:type="dxa"/>
          </w:tcPr>
          <w:p>
            <w:pPr>
              <w:spacing w:after="0"/>
            </w:pPr>
            <w:r>
              <w:t/>
            </w:r>
          </w:p>
        </w:tc>
        <w:tc>
          <w:tcPr>
            <w:tcW w:w="3120" w:type="dxa"/>
          </w:tcPr>
          <w:p>
            <w:pPr>
              <w:spacing w:after="0"/>
            </w:pPr>
            <w:r>
              <w:rPr>
                <w:b/>
              </w:rPr>
              <w:t xml:space="preserve">$700</w:t>
            </w:r>
          </w:p>
        </w:tc>
      </w:tr>
    </w:tbl>
    <w:p>
      <w:pPr/>
      <w:r>
        <w:t/>
      </w:r>
    </w:p>
    <w:p>
      <w:pPr>
        <w:spacing w:after="140"/>
      </w:pPr>
      <w:r>
        <w:rPr>
          <w:b/>
        </w:rPr>
        <w:t xml:space="preserve">REVISED 2026-08-12: Class 035 is dropped.</w:t>
      </w:r>
      <w:r>
        <w:t xml:space="preserve"> An earlier version of this document recommended filing JRS in 042 and 035 for broader coverage. That was wrong for your situation. Class 035 is business consulting, and an intent-to-use application requires a sworn </w:t>
      </w:r>
      <w:r>
        <w:rPr>
          <w:b/>
        </w:rPr>
        <w:t xml:space="preserve">bona fide intention to use</w:t>
      </w:r>
      <w:r>
        <w:t xml:space="preserve"> the mark in every class claimed. You dropped commercialization to do research only, so a business-consulting claim is the weakest and most attackable part of the filing. Dropping it saves $350 and removes the weak link. Full reasoning in </w:t>
      </w:r>
      <w:r>
        <w:rPr>
          <w:rFonts w:ascii="Consolas" w:hAnsi="Consolas"/>
        </w:rPr>
        <w:t xml:space="preserve">research/TRADEMARK_COST_BENEFIT_2026-08-12.md</w:t>
      </w:r>
      <w:r>
        <w:t xml:space="preserve">.</w:t>
      </w:r>
    </w:p>
    <w:p>
      <w:pPr>
        <w:pBdr>
          <w:bottom w:val="single" w:sz="6" w:space="1" w:color="AAAAAA"/>
        </w:pBdr>
      </w:pPr>
    </w:p>
    <w:p>
      <w:pPr>
        <w:pStyle w:val="Heading2"/>
        <w:spacing w:after="140"/>
      </w:pPr>
      <w:r>
        <w:t xml:space="preserve">STEP 1: Create your USPTO account and verify your identity</w:t>
      </w:r>
    </w:p>
    <w:p>
      <w:pPr>
        <w:spacing w:after="140"/>
      </w:pPr>
      <w:r>
        <w:rPr>
          <w:b/>
        </w:rPr>
        <w:t xml:space="preserve">Do this first. It is the only step with a waiting period, and people get caught out by it.</w:t>
      </w:r>
    </w:p>
    <w:p>
      <w:pPr>
        <w:numPr>
          <w:ilvl w:val="0"/>
          <w:numId w:val="2"/>
        </w:numPr>
        <w:spacing w:after="60"/>
      </w:pPr>
      <w:r>
        <w:t xml:space="preserve">Go to </w:t>
      </w:r>
      <w:r>
        <w:rPr>
          <w:b/>
        </w:rPr>
        <w:t xml:space="preserve">https://account.uspto.gov</w:t>
      </w:r>
      <w:r>
        <w:t xml:space="preserve"> and create a USPTO.gov account.</w:t>
      </w:r>
    </w:p>
    <w:p>
      <w:pPr>
        <w:numPr>
          <w:ilvl w:val="0"/>
          <w:numId w:val="2"/>
        </w:numPr>
        <w:spacing w:after="60"/>
      </w:pPr>
      <w:r>
        <w:t xml:space="preserve">Complete </w:t>
      </w:r>
      <w:r>
        <w:rPr>
          <w:b/>
        </w:rPr>
        <w:t xml:space="preserve">identity verification</w:t>
      </w:r>
      <w:r>
        <w:t xml:space="preserve">. You can verify online with ID.me, or by mail. Online is usually same-day; by mail takes weeks.</w:t>
      </w:r>
    </w:p>
    <w:p>
      <w:pPr>
        <w:numPr>
          <w:ilvl w:val="0"/>
          <w:numId w:val="2"/>
        </w:numPr>
        <w:spacing w:after="60"/>
      </w:pPr>
      <w:r>
        <w:t xml:space="preserve">Once verified, you can sign in to </w:t>
      </w:r>
      <w:r>
        <w:rPr>
          <w:b/>
        </w:rPr>
        <w:t xml:space="preserve">Trademark Center</w:t>
      </w:r>
      <w:r>
        <w:t xml:space="preserve">, which is the filing system. TEAS was retired: do not look for it.</w:t>
      </w:r>
    </w:p>
    <w:p>
      <w:pPr>
        <w:spacing w:after="140"/>
      </w:pPr>
      <w:r>
        <w:rPr>
          <w:b/>
        </w:rPr>
        <w:t xml:space="preserve">Do not skip ahead.</w:t>
      </w:r>
      <w:r>
        <w:t xml:space="preserve"> You cannot file until this is done.</w:t>
      </w:r>
    </w:p>
    <w:p>
      <w:pPr>
        <w:pBdr>
          <w:bottom w:val="single" w:sz="6" w:space="1" w:color="AAAAAA"/>
        </w:pBdr>
      </w:pPr>
    </w:p>
    <w:p>
      <w:pPr>
        <w:pStyle w:val="Heading2"/>
        <w:spacing w:after="140"/>
      </w:pPr>
      <w:r>
        <w:t xml:space="preserve">STEP 2: Search for conflicts (free, about 30 minutes)</w:t>
      </w:r>
    </w:p>
    <w:p>
      <w:pPr>
        <w:spacing w:after="140"/>
      </w:pPr>
      <w:r>
        <w:t xml:space="preserve">You are checking that nobody already owns something confusingly similar.</w:t>
      </w:r>
    </w:p>
    <w:p>
      <w:pPr>
        <w:numPr>
          <w:ilvl w:val="0"/>
          <w:numId w:val="2"/>
        </w:numPr>
        <w:spacing w:after="60"/>
      </w:pPr>
      <w:r>
        <w:t xml:space="preserve">Go to the trademark search at </w:t>
      </w:r>
      <w:r>
        <w:rPr>
          <w:b/>
        </w:rPr>
        <w:t xml:space="preserve">https://tmsearch.uspto.gov</w:t>
      </w:r>
      <w:r>
        <w:t xml:space="preserve">.</w:t>
      </w:r>
    </w:p>
    <w:p>
      <w:pPr>
        <w:numPr>
          <w:ilvl w:val="0"/>
          <w:numId w:val="2"/>
        </w:numPr>
        <w:spacing w:after="60"/>
      </w:pPr>
      <w:r>
        <w:t xml:space="preserve">Search each of these and read the live results:</w:t>
      </w:r>
    </w:p>
    <w:p>
      <w:pPr>
        <w:numPr>
          <w:ilvl w:val="0"/>
          <w:numId w:val="1"/>
        </w:numPr>
        <w:spacing w:after="60"/>
      </w:pPr>
      <w:r>
        <w:rPr>
          <w:rFonts w:ascii="Consolas" w:hAnsi="Consolas"/>
        </w:rPr>
        <w:t xml:space="preserve">JRS</w:t>
      </w:r>
    </w:p>
    <w:p>
      <w:pPr>
        <w:numPr>
          <w:ilvl w:val="0"/>
          <w:numId w:val="1"/>
        </w:numPr>
        <w:spacing w:after="60"/>
      </w:pPr>
      <w:r>
        <w:rPr>
          <w:rFonts w:ascii="Consolas" w:hAnsi="Consolas"/>
        </w:rPr>
        <w:t xml:space="preserve">Justification Review Standard</w:t>
      </w:r>
    </w:p>
    <w:p>
      <w:pPr>
        <w:numPr>
          <w:ilvl w:val="0"/>
          <w:numId w:val="1"/>
        </w:numPr>
        <w:spacing w:after="60"/>
      </w:pPr>
      <w:r>
        <w:rPr>
          <w:rFonts w:ascii="Consolas" w:hAnsi="Consolas"/>
        </w:rPr>
        <w:t xml:space="preserve">DRR</w:t>
      </w:r>
    </w:p>
    <w:p>
      <w:pPr>
        <w:numPr>
          <w:ilvl w:val="0"/>
          <w:numId w:val="1"/>
        </w:numPr>
        <w:spacing w:after="60"/>
      </w:pPr>
      <w:r>
        <w:rPr>
          <w:rFonts w:ascii="Consolas" w:hAnsi="Consolas"/>
        </w:rPr>
        <w:t xml:space="preserve">Decision Reconstruction Risk</w:t>
      </w:r>
    </w:p>
    <w:p>
      <w:pPr>
        <w:numPr>
          <w:ilvl w:val="0"/>
          <w:numId w:val="2"/>
        </w:numPr>
        <w:spacing w:after="60"/>
      </w:pPr>
      <w:r>
        <w:t xml:space="preserve">For each hit, look at two things only: </w:t>
      </w:r>
      <w:r>
        <w:rPr>
          <w:b/>
        </w:rPr>
        <w:t xml:space="preserve">is it in Class 042 or 035</w:t>
      </w:r>
      <w:r>
        <w:t xml:space="preserve">, and </w:t>
      </w:r>
      <w:r>
        <w:rPr>
          <w:b/>
        </w:rPr>
        <w:t xml:space="preserve">is it live</w:t>
      </w:r>
      <w:r>
        <w:t xml:space="preserve">. Dead marks do not block you.</w:t>
      </w:r>
    </w:p>
    <w:p>
      <w:pPr>
        <w:numPr>
          <w:ilvl w:val="0"/>
          <w:numId w:val="2"/>
        </w:numPr>
        <w:spacing w:after="60"/>
      </w:pPr>
      <w:r>
        <w:t xml:space="preserve">Write down anything live in 042 or 035 that looks close.</w:t>
      </w:r>
    </w:p>
    <w:p>
      <w:pPr>
        <w:spacing w:after="140"/>
      </w:pPr>
      <w:r>
        <w:rPr>
          <w:b/>
        </w:rPr>
        <w:t xml:space="preserve">JRS is a three-letter combination and other people will own it in other fields.</w:t>
      </w:r>
      <w:r>
        <w:t xml:space="preserve"> That alone is not a problem. A conflict only matters when the goods and services overlap with yours. If you find a live mark in 042 or 035 for anything touching auditing, compliance, software or AI governance, that is when you want an attorney to look before you spend the filing fee.</w:t>
      </w:r>
    </w:p>
    <w:p>
      <w:pPr>
        <w:pBdr>
          <w:bottom w:val="single" w:sz="6" w:space="1" w:color="AAAAAA"/>
        </w:pBdr>
      </w:pPr>
    </w:p>
    <w:p>
      <w:pPr>
        <w:pStyle w:val="Heading2"/>
        <w:spacing w:after="140"/>
      </w:pPr>
      <w:r>
        <w:t xml:space="preserve">STEP 3: Decide what you are actually filing</w:t>
      </w:r>
    </w:p>
    <w:p>
      <w:pPr>
        <w:spacing w:after="140"/>
      </w:pPr>
      <w:r>
        <w:t xml:space="preserve">File the </w:t>
      </w:r>
      <w:r>
        <w:rPr>
          <w:b/>
        </w:rPr>
        <w:t xml:space="preserve">acronyms as standard character marks</w:t>
      </w:r>
      <w:r>
        <w:t xml:space="preserv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w:r>
          </w:p>
        </w:tc>
        <w:tc>
          <w:tcPr>
            <w:tcW w:w="3120" w:type="dxa"/>
          </w:tcPr>
          <w:p>
            <w:pPr>
              <w:spacing w:after="0"/>
            </w:pPr>
            <w:r>
              <w:t xml:space="preserve">Mark to file</w:t>
            </w:r>
          </w:p>
        </w:tc>
        <w:tc>
          <w:tcPr>
            <w:tcW w:w="3120" w:type="dxa"/>
          </w:tcPr>
          <w:p>
            <w:pPr>
              <w:spacing w:after="0"/>
            </w:pPr>
            <w:r>
              <w:t xml:space="preserve">Type</w:t>
            </w:r>
          </w:p>
        </w:tc>
      </w:tr>
      <w:tr>
        <w:tc>
          <w:tcPr>
            <w:tcW w:w="3120" w:type="dxa"/>
          </w:tcPr>
          <w:p>
            <w:pPr>
              <w:spacing w:after="0"/>
            </w:pPr>
            <w:r>
              <w:t xml:space="preserve">Application 1</w:t>
            </w:r>
          </w:p>
        </w:tc>
        <w:tc>
          <w:tcPr>
            <w:tcW w:w="3120" w:type="dxa"/>
          </w:tcPr>
          <w:p>
            <w:pPr>
              <w:spacing w:after="0"/>
            </w:pPr>
            <w:r>
              <w:rPr>
                <w:b/>
              </w:rPr>
              <w:t xml:space="preserve">JRS</w:t>
            </w:r>
          </w:p>
        </w:tc>
        <w:tc>
          <w:tcPr>
            <w:tcW w:w="3120" w:type="dxa"/>
          </w:tcPr>
          <w:p>
            <w:pPr>
              <w:spacing w:after="0"/>
            </w:pPr>
            <w:r>
              <w:t xml:space="preserve">Standard character mark</w:t>
            </w:r>
          </w:p>
        </w:tc>
      </w:tr>
      <w:tr>
        <w:tc>
          <w:tcPr>
            <w:tcW w:w="3120" w:type="dxa"/>
          </w:tcPr>
          <w:p>
            <w:pPr>
              <w:spacing w:after="0"/>
            </w:pPr>
            <w:r>
              <w:t xml:space="preserve">Application 2</w:t>
            </w:r>
          </w:p>
        </w:tc>
        <w:tc>
          <w:tcPr>
            <w:tcW w:w="3120" w:type="dxa"/>
          </w:tcPr>
          <w:p>
            <w:pPr>
              <w:spacing w:after="0"/>
            </w:pPr>
            <w:r>
              <w:rPr>
                <w:b/>
              </w:rPr>
              <w:t xml:space="preserve">DRR</w:t>
            </w:r>
          </w:p>
        </w:tc>
        <w:tc>
          <w:tcPr>
            <w:tcW w:w="3120" w:type="dxa"/>
          </w:tcPr>
          <w:p>
            <w:pPr>
              <w:spacing w:after="0"/>
            </w:pPr>
            <w:r>
              <w:t xml:space="preserve">Standard character mark</w:t>
            </w:r>
          </w:p>
        </w:tc>
      </w:tr>
    </w:tbl>
    <w:p>
      <w:pPr/>
      <w:r>
        <w:t/>
      </w:r>
    </w:p>
    <w:p>
      <w:pPr>
        <w:spacing w:after="140"/>
      </w:pPr>
      <w:r>
        <w:t xml:space="preserve">A standard character mark protects the letters in any font, size or colour. It is the strongest and simplest form. Do not file a logo.</w:t>
      </w:r>
    </w:p>
    <w:p>
      <w:pPr>
        <w:spacing w:after="140"/>
      </w:pPr>
      <w:r>
        <w:rPr>
          <w:b/>
        </w:rPr>
        <w:t xml:space="preserve">Why the acronym and not the full phrase.</w:t>
      </w:r>
      <w:r>
        <w:t xml:space="preserve"> "Justification Review Standard" describes exactly what the thing is: a standard for reviewing justifications. Examining attorneys refuse marks that merely describe the product. "Decision Reconstruction Risk" has the same problem: it names a risk. The acronyms do not describe anything on their face, so they have a materially better chance of getting through.</w:t>
      </w:r>
    </w:p>
    <w:p>
      <w:pPr>
        <w:spacing w:after="140"/>
      </w:pPr>
      <w:r>
        <w:t xml:space="preserve">You can put the full phrase in the application as background, but </w:t>
      </w:r>
      <w:r>
        <w:rPr>
          <w:b/>
        </w:rPr>
        <w:t xml:space="preserve">the mark you claim should be the three letters.</w:t>
      </w:r>
    </w:p>
    <w:p>
      <w:pPr>
        <w:pBdr>
          <w:bottom w:val="single" w:sz="6" w:space="1" w:color="AAAAAA"/>
        </w:pBdr>
      </w:pPr>
    </w:p>
    <w:p>
      <w:pPr>
        <w:pStyle w:val="Heading2"/>
        <w:spacing w:after="140"/>
      </w:pPr>
      <w:r>
        <w:t xml:space="preserve">STEP 4: Pick your descriptions from the ID Manual (this is where you save $400)</w:t>
      </w:r>
    </w:p>
    <w:p>
      <w:pPr>
        <w:spacing w:after="140"/>
      </w:pPr>
      <w:r>
        <w:t xml:space="preserve">USPTO keeps a list of pre-approved wording for describing services. Pick from the list and you pay nothing extra. Type your own and it costs </w:t>
      </w:r>
      <w:r>
        <w:rPr>
          <w:b/>
        </w:rPr>
        <w:t xml:space="preserve">$200 per class.</w:t>
      </w:r>
    </w:p>
    <w:p>
      <w:pPr>
        <w:spacing w:after="140"/>
      </w:pPr>
      <w:r>
        <w:t xml:space="preserve">The picker is built into Trademark Center. There is also a standalone search at </w:t>
      </w:r>
      <w:r>
        <w:rPr>
          <w:b/>
        </w:rPr>
        <w:t xml:space="preserve">https://idm-tmng.uspto.gov</w:t>
      </w:r>
      <w:r>
        <w:t xml:space="preserve">.</w:t>
      </w:r>
    </w:p>
    <w:p>
      <w:pPr>
        <w:spacing w:after="140"/>
      </w:pPr>
      <w:r>
        <w:rPr>
          <w:b/>
        </w:rPr>
        <w:t xml:space="preserve">How to do it:</w:t>
      </w:r>
      <w:r>
        <w:t xml:space="preserve"> search the terms below, read what comes back, and tick the entries that genuinely match what JRS and DRR do. Take the closest pre-approved wording even if it is not perfect. Perfect wording costs $200 a class and buys you very little.</w:t>
      </w:r>
    </w:p>
    <w:p>
      <w:pPr>
        <w:spacing w:after="140"/>
      </w:pPr>
      <w:r>
        <w:rPr>
          <w:b/>
        </w:rPr>
        <w:t xml:space="preserve">For JRS, Class 042</w:t>
      </w:r>
      <w:r>
        <w:t xml:space="preserve">: search these terms:</w:t>
      </w:r>
    </w:p>
    <w:p>
      <w:pPr>
        <w:numPr>
          <w:ilvl w:val="0"/>
          <w:numId w:val="1"/>
        </w:numPr>
        <w:spacing w:after="60"/>
      </w:pPr>
      <w:r>
        <w:rPr>
          <w:rFonts w:ascii="Consolas" w:hAnsi="Consolas"/>
        </w:rPr>
        <w:t xml:space="preserve">technical consultation</w:t>
      </w:r>
      <w:r>
        <w:t xml:space="preserve"> and the field of your work</w:t>
      </w:r>
    </w:p>
    <w:p>
      <w:pPr>
        <w:numPr>
          <w:ilvl w:val="0"/>
          <w:numId w:val="1"/>
        </w:numPr>
        <w:spacing w:after="60"/>
      </w:pPr>
      <w:r>
        <w:rPr>
          <w:rFonts w:ascii="Consolas" w:hAnsi="Consolas"/>
        </w:rPr>
        <w:t xml:space="preserve">quality control</w:t>
      </w:r>
      <w:r>
        <w:t xml:space="preserve"> or </w:t>
      </w:r>
      <w:r>
        <w:rPr>
          <w:rFonts w:ascii="Consolas" w:hAnsi="Consolas"/>
        </w:rPr>
        <w:t xml:space="preserve">evaluation of standards</w:t>
      </w:r>
    </w:p>
    <w:p>
      <w:pPr>
        <w:numPr>
          <w:ilvl w:val="0"/>
          <w:numId w:val="1"/>
        </w:numPr>
        <w:spacing w:after="60"/>
      </w:pPr>
      <w:r>
        <w:rPr>
          <w:rFonts w:ascii="Consolas" w:hAnsi="Consolas"/>
        </w:rPr>
        <w:t xml:space="preserve">technological consultation</w:t>
      </w:r>
      <w:r>
        <w:t xml:space="preserve"> and </w:t>
      </w:r>
      <w:r>
        <w:rPr>
          <w:rFonts w:ascii="Consolas" w:hAnsi="Consolas"/>
        </w:rPr>
        <w:t xml:space="preserve">information technology</w:t>
      </w:r>
    </w:p>
    <w:p>
      <w:pPr>
        <w:numPr>
          <w:ilvl w:val="0"/>
          <w:numId w:val="1"/>
        </w:numPr>
        <w:spacing w:after="60"/>
      </w:pPr>
      <w:r>
        <w:rPr>
          <w:rFonts w:ascii="Consolas" w:hAnsi="Consolas"/>
        </w:rPr>
        <w:t xml:space="preserve">research</w:t>
      </w:r>
      <w:r>
        <w:t xml:space="preserve"> and </w:t>
      </w:r>
      <w:r>
        <w:rPr>
          <w:rFonts w:ascii="Consolas" w:hAnsi="Consolas"/>
        </w:rPr>
        <w:t xml:space="preserve">technology</w:t>
      </w:r>
    </w:p>
    <w:p>
      <w:pPr>
        <w:spacing w:after="140"/>
      </w:pPr>
      <w:r>
        <w:rPr>
          <w:b/>
        </w:rPr>
        <w:t xml:space="preserve">For DRR, Class 042</w:t>
      </w:r>
      <w:r>
        <w:t xml:space="preserve">: search these terms:</w:t>
      </w:r>
    </w:p>
    <w:p>
      <w:pPr>
        <w:numPr>
          <w:ilvl w:val="0"/>
          <w:numId w:val="1"/>
        </w:numPr>
        <w:spacing w:after="60"/>
      </w:pPr>
      <w:r>
        <w:rPr>
          <w:rFonts w:ascii="Consolas" w:hAnsi="Consolas"/>
        </w:rPr>
        <w:t xml:space="preserve">technical consultation</w:t>
      </w:r>
    </w:p>
    <w:p>
      <w:pPr>
        <w:numPr>
          <w:ilvl w:val="0"/>
          <w:numId w:val="1"/>
        </w:numPr>
        <w:spacing w:after="60"/>
      </w:pPr>
      <w:r>
        <w:rPr>
          <w:rFonts w:ascii="Consolas" w:hAnsi="Consolas"/>
        </w:rPr>
        <w:t xml:space="preserve">technological analysis</w:t>
      </w:r>
    </w:p>
    <w:p>
      <w:pPr>
        <w:numPr>
          <w:ilvl w:val="0"/>
          <w:numId w:val="1"/>
        </w:numPr>
        <w:spacing w:after="60"/>
      </w:pPr>
      <w:r>
        <w:rPr>
          <w:rFonts w:ascii="Consolas" w:hAnsi="Consolas"/>
        </w:rPr>
        <w:t xml:space="preserve">risk assessment</w:t>
      </w:r>
      <w:r>
        <w:t xml:space="preserve"> and </w:t>
      </w:r>
      <w:r>
        <w:rPr>
          <w:rFonts w:ascii="Consolas" w:hAnsi="Consolas"/>
        </w:rPr>
        <w:t xml:space="preserve">technology</w:t>
      </w:r>
    </w:p>
    <w:p>
      <w:pPr>
        <w:spacing w:after="140"/>
      </w:pPr>
      <w:r>
        <w:rPr>
          <w:b/>
        </w:rPr>
        <w:t xml:space="preserve">I have not verified these exact entries exist today, and I am not going to pretend otherwise.</w:t>
      </w:r>
      <w:r>
        <w:t xml:space="preserve"> The ID Manual is a live database that changes, and I could not read it directly. Search the terms, read what actually comes back, and pick from what you see on the day.</w:t>
      </w:r>
    </w:p>
    <w:p>
      <w:pPr>
        <w:spacing w:after="140"/>
      </w:pPr>
      <w:r>
        <w:t xml:space="preserve">The draft custom wording sitting in </w:t>
      </w:r>
      <w:r>
        <w:rPr>
          <w:rFonts w:ascii="Consolas" w:hAnsi="Consolas"/>
        </w:rPr>
        <w:t xml:space="preserve">TRADEMARK_FILING_DOSSIER_JRS_DRR.md</w:t>
      </w:r>
      <w:r>
        <w:t xml:space="preserve"> is only a fallback. Using it costs $200 per class, so </w:t>
      </w:r>
      <w:r>
        <w:rPr>
          <w:b/>
        </w:rPr>
        <w:t xml:space="preserve">$400 extra across both classes.</w:t>
      </w:r>
      <w:r>
        <w:t xml:space="preserve"> Use the picker.</w:t>
      </w:r>
    </w:p>
    <w:p>
      <w:pPr>
        <w:pBdr>
          <w:bottom w:val="single" w:sz="6" w:space="1" w:color="AAAAAA"/>
        </w:pBdr>
      </w:pPr>
    </w:p>
    <w:p>
      <w:pPr>
        <w:pStyle w:val="Heading2"/>
        <w:spacing w:after="140"/>
      </w:pPr>
      <w:r>
        <w:t xml:space="preserve">STEP 5: File the JRS application</w:t>
      </w:r>
    </w:p>
    <w:p>
      <w:pPr>
        <w:spacing w:after="140"/>
      </w:pPr>
      <w:r>
        <w:t xml:space="preserve">Sign in to </w:t>
      </w:r>
      <w:r>
        <w:rPr>
          <w:b/>
        </w:rPr>
        <w:t xml:space="preserve">Trademark Center</w:t>
      </w:r>
      <w:r>
        <w:t xml:space="preserve"> at https://tmcenter.uspto.gov and start a new application.</w:t>
      </w:r>
    </w:p>
    <w:p>
      <w:pPr>
        <w:spacing w:after="140"/>
      </w:pPr>
      <w:r>
        <w:t xml:space="preserve">Fill in exactly this: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Field</w:t>
            </w:r>
          </w:p>
        </w:tc>
        <w:tc>
          <w:tcPr>
            <w:tcW w:w="4680" w:type="dxa"/>
          </w:tcPr>
          <w:p>
            <w:pPr>
              <w:spacing w:after="0"/>
            </w:pPr>
            <w:r>
              <w:t xml:space="preserve">What to enter</w:t>
            </w:r>
          </w:p>
        </w:tc>
      </w:tr>
      <w:tr>
        <w:tc>
          <w:tcPr>
            <w:tcW w:w="4680" w:type="dxa"/>
          </w:tcPr>
          <w:p>
            <w:pPr>
              <w:spacing w:after="0"/>
            </w:pPr>
            <w:r>
              <w:t xml:space="preserve">Mark type</w:t>
            </w:r>
          </w:p>
        </w:tc>
        <w:tc>
          <w:tcPr>
            <w:tcW w:w="4680" w:type="dxa"/>
          </w:tcPr>
          <w:p>
            <w:pPr>
              <w:spacing w:after="0"/>
            </w:pPr>
            <w:r>
              <w:rPr>
                <w:b/>
              </w:rPr>
              <w:t xml:space="preserve">Standard character mark</w:t>
            </w:r>
          </w:p>
        </w:tc>
      </w:tr>
      <w:tr>
        <w:tc>
          <w:tcPr>
            <w:tcW w:w="4680" w:type="dxa"/>
          </w:tcPr>
          <w:p>
            <w:pPr>
              <w:spacing w:after="0"/>
            </w:pPr>
            <w:r>
              <w:t xml:space="preserve">Mark</w:t>
            </w:r>
          </w:p>
        </w:tc>
        <w:tc>
          <w:tcPr>
            <w:tcW w:w="4680" w:type="dxa"/>
          </w:tcPr>
          <w:p>
            <w:pPr>
              <w:spacing w:after="0"/>
            </w:pPr>
            <w:r>
              <w:rPr>
                <w:rFonts w:ascii="Consolas" w:hAnsi="Consolas"/>
              </w:rPr>
              <w:t xml:space="preserve">JRS</w:t>
            </w:r>
          </w:p>
        </w:tc>
      </w:tr>
      <w:tr>
        <w:tc>
          <w:tcPr>
            <w:tcW w:w="4680" w:type="dxa"/>
          </w:tcPr>
          <w:p>
            <w:pPr>
              <w:spacing w:after="0"/>
            </w:pPr>
            <w:r>
              <w:t xml:space="preserve">Owner type</w:t>
            </w:r>
          </w:p>
        </w:tc>
        <w:tc>
          <w:tcPr>
            <w:tcW w:w="4680" w:type="dxa"/>
          </w:tcPr>
          <w:p>
            <w:pPr>
              <w:spacing w:after="0"/>
            </w:pPr>
            <w:r>
              <w:t xml:space="preserve">Individual</w:t>
            </w:r>
          </w:p>
        </w:tc>
      </w:tr>
      <w:tr>
        <w:tc>
          <w:tcPr>
            <w:tcW w:w="4680" w:type="dxa"/>
          </w:tcPr>
          <w:p>
            <w:pPr>
              <w:spacing w:after="0"/>
            </w:pPr>
            <w:r>
              <w:t xml:space="preserve">Owner name</w:t>
            </w:r>
          </w:p>
        </w:tc>
        <w:tc>
          <w:tcPr>
            <w:tcW w:w="4680" w:type="dxa"/>
          </w:tcPr>
          <w:p>
            <w:pPr>
              <w:spacing w:after="0"/>
            </w:pPr>
            <w:r>
              <w:t xml:space="preserve">Phillip Wikes</w:t>
            </w:r>
          </w:p>
        </w:tc>
      </w:tr>
      <w:tr>
        <w:tc>
          <w:tcPr>
            <w:tcW w:w="4680" w:type="dxa"/>
          </w:tcPr>
          <w:p>
            <w:pPr>
              <w:spacing w:after="0"/>
            </w:pPr>
            <w:r>
              <w:t xml:space="preserve">Owner address</w:t>
            </w:r>
          </w:p>
        </w:tc>
        <w:tc>
          <w:tcPr>
            <w:tcW w:w="4680" w:type="dxa"/>
          </w:tcPr>
          <w:p>
            <w:pPr>
              <w:spacing w:after="0"/>
            </w:pPr>
            <w:r>
              <w:t xml:space="preserve">your address</w:t>
            </w:r>
          </w:p>
        </w:tc>
      </w:tr>
      <w:tr>
        <w:tc>
          <w:tcPr>
            <w:tcW w:w="4680" w:type="dxa"/>
          </w:tcPr>
          <w:p>
            <w:pPr>
              <w:spacing w:after="0"/>
            </w:pPr>
            <w:r>
              <w:t xml:space="preserve">Citizenship</w:t>
            </w:r>
          </w:p>
        </w:tc>
        <w:tc>
          <w:tcPr>
            <w:tcW w:w="4680" w:type="dxa"/>
          </w:tcPr>
          <w:p>
            <w:pPr>
              <w:spacing w:after="0"/>
            </w:pPr>
            <w:r>
              <w:t xml:space="preserve">your country of citizenship</w:t>
            </w:r>
          </w:p>
        </w:tc>
      </w:tr>
      <w:tr>
        <w:tc>
          <w:tcPr>
            <w:tcW w:w="4680" w:type="dxa"/>
          </w:tcPr>
          <w:p>
            <w:pPr>
              <w:spacing w:after="0"/>
            </w:pPr>
            <w:r>
              <w:t xml:space="preserve">Email</w:t>
            </w:r>
          </w:p>
        </w:tc>
        <w:tc>
          <w:tcPr>
            <w:tcW w:w="4680" w:type="dxa"/>
          </w:tcPr>
          <w:p>
            <w:pPr>
              <w:spacing w:after="0"/>
            </w:pPr>
            <w:r>
              <w:rPr>
                <w:rFonts w:ascii="Consolas" w:hAnsi="Consolas"/>
              </w:rPr>
              <w:t xml:space="preserve">info@jrsstandard.com</w:t>
            </w:r>
          </w:p>
        </w:tc>
      </w:tr>
      <w:tr>
        <w:tc>
          <w:tcPr>
            <w:tcW w:w="4680" w:type="dxa"/>
          </w:tcPr>
          <w:p>
            <w:pPr>
              <w:spacing w:after="0"/>
            </w:pPr>
            <w:r>
              <w:t xml:space="preserve">Filing basis</w:t>
            </w:r>
          </w:p>
        </w:tc>
        <w:tc>
          <w:tcPr>
            <w:tcW w:w="4680" w:type="dxa"/>
          </w:tcPr>
          <w:p>
            <w:pPr>
              <w:spacing w:after="0"/>
            </w:pPr>
            <w:r>
              <w:rPr>
                <w:b/>
              </w:rPr>
              <w:t xml:space="preserve">Section 1(b), intent to use</w:t>
            </w:r>
          </w:p>
        </w:tc>
      </w:tr>
      <w:tr>
        <w:tc>
          <w:tcPr>
            <w:tcW w:w="4680" w:type="dxa"/>
          </w:tcPr>
          <w:p>
            <w:pPr>
              <w:spacing w:after="0"/>
            </w:pPr>
            <w:r>
              <w:t xml:space="preserve">Class</w:t>
            </w:r>
          </w:p>
        </w:tc>
        <w:tc>
          <w:tcPr>
            <w:tcW w:w="4680" w:type="dxa"/>
          </w:tcPr>
          <w:p>
            <w:pPr>
              <w:spacing w:after="0"/>
            </w:pPr>
            <w:r>
              <w:t xml:space="preserve">042</w:t>
            </w:r>
          </w:p>
        </w:tc>
      </w:tr>
      <w:tr>
        <w:tc>
          <w:tcPr>
            <w:tcW w:w="4680" w:type="dxa"/>
          </w:tcPr>
          <w:p>
            <w:pPr>
              <w:spacing w:after="0"/>
            </w:pPr>
            <w:r>
              <w:t xml:space="preserve">Descriptions</w:t>
            </w:r>
          </w:p>
        </w:tc>
        <w:tc>
          <w:tcPr>
            <w:tcW w:w="4680" w:type="dxa"/>
          </w:tcPr>
          <w:p>
            <w:pPr>
              <w:spacing w:after="0"/>
            </w:pPr>
            <w:r>
              <w:t xml:space="preserve">the ID Manual entries you picked in Step 4</w:t>
            </w:r>
          </w:p>
        </w:tc>
      </w:tr>
    </w:tbl>
    <w:p>
      <w:pPr/>
      <w:r>
        <w:t/>
      </w:r>
    </w:p>
    <w:p>
      <w:pPr>
        <w:spacing w:after="140"/>
      </w:pPr>
      <w:r>
        <w:rPr>
          <w:b/>
        </w:rPr>
        <w:t xml:space="preserve">Do not</w:t>
      </w:r>
      <w:r>
        <w:t xml:space="preserve"> enter a date of first use. </w:t>
      </w:r>
      <w:r>
        <w:rPr>
          <w:b/>
        </w:rPr>
        <w:t xml:space="preserve">Do not</w:t>
      </w:r>
      <w:r>
        <w:t xml:space="preserve"> upload a specimen. There is no field asking you for either, and if you find yourself looking at one, you have selected the wrong filing basis. Go back and choose Section 1(b).</w:t>
      </w:r>
    </w:p>
    <w:p>
      <w:pPr>
        <w:spacing w:after="140"/>
      </w:pPr>
      <w:r>
        <w:t xml:space="preserve">Sign the declaration, pay </w:t>
      </w:r>
      <w:r>
        <w:rPr>
          <w:b/>
        </w:rPr>
        <w:t xml:space="preserve">$350</w:t>
      </w:r>
      <w:r>
        <w:t xml:space="preserve">, and submit.</w:t>
      </w:r>
    </w:p>
    <w:p>
      <w:pPr>
        <w:spacing w:after="140"/>
      </w:pPr>
      <w:r>
        <w:rPr>
          <w:b/>
        </w:rPr>
        <w:t xml:space="preserve">Save the serial number.</w:t>
      </w:r>
      <w:r>
        <w:t xml:space="preserve"> It is your reference for everything that follows.</w:t>
      </w:r>
    </w:p>
    <w:p>
      <w:pPr>
        <w:pBdr>
          <w:bottom w:val="single" w:sz="6" w:space="1" w:color="AAAAAA"/>
        </w:pBdr>
      </w:pPr>
    </w:p>
    <w:p>
      <w:pPr>
        <w:pStyle w:val="Heading2"/>
        <w:spacing w:after="140"/>
      </w:pPr>
      <w:r>
        <w:t xml:space="preserve">STEP 6: File the DRR application</w:t>
      </w:r>
    </w:p>
    <w:p>
      <w:pPr>
        <w:spacing w:after="140"/>
      </w:pPr>
      <w:r>
        <w:t xml:space="preserve">Same process, separately: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Field</w:t>
            </w:r>
          </w:p>
        </w:tc>
        <w:tc>
          <w:tcPr>
            <w:tcW w:w="4680" w:type="dxa"/>
          </w:tcPr>
          <w:p>
            <w:pPr>
              <w:spacing w:after="0"/>
            </w:pPr>
            <w:r>
              <w:t xml:space="preserve">What to enter</w:t>
            </w:r>
          </w:p>
        </w:tc>
      </w:tr>
      <w:tr>
        <w:tc>
          <w:tcPr>
            <w:tcW w:w="4680" w:type="dxa"/>
          </w:tcPr>
          <w:p>
            <w:pPr>
              <w:spacing w:after="0"/>
            </w:pPr>
            <w:r>
              <w:t xml:space="preserve">Mark</w:t>
            </w:r>
          </w:p>
        </w:tc>
        <w:tc>
          <w:tcPr>
            <w:tcW w:w="4680" w:type="dxa"/>
          </w:tcPr>
          <w:p>
            <w:pPr>
              <w:spacing w:after="0"/>
            </w:pPr>
            <w:r>
              <w:rPr>
                <w:rFonts w:ascii="Consolas" w:hAnsi="Consolas"/>
              </w:rPr>
              <w:t xml:space="preserve">DRR</w:t>
            </w:r>
          </w:p>
        </w:tc>
      </w:tr>
      <w:tr>
        <w:tc>
          <w:tcPr>
            <w:tcW w:w="4680" w:type="dxa"/>
          </w:tcPr>
          <w:p>
            <w:pPr>
              <w:spacing w:after="0"/>
            </w:pPr>
            <w:r>
              <w:t xml:space="preserve">Filing basis</w:t>
            </w:r>
          </w:p>
        </w:tc>
        <w:tc>
          <w:tcPr>
            <w:tcW w:w="4680" w:type="dxa"/>
          </w:tcPr>
          <w:p>
            <w:pPr>
              <w:spacing w:after="0"/>
            </w:pPr>
            <w:r>
              <w:rPr>
                <w:b/>
              </w:rPr>
              <w:t xml:space="preserve">Section 1(b), intent to use</w:t>
            </w:r>
          </w:p>
        </w:tc>
      </w:tr>
      <w:tr>
        <w:tc>
          <w:tcPr>
            <w:tcW w:w="4680" w:type="dxa"/>
          </w:tcPr>
          <w:p>
            <w:pPr>
              <w:spacing w:after="0"/>
            </w:pPr>
            <w:r>
              <w:t xml:space="preserve">Class</w:t>
            </w:r>
          </w:p>
        </w:tc>
        <w:tc>
          <w:tcPr>
            <w:tcW w:w="4680" w:type="dxa"/>
          </w:tcPr>
          <w:p>
            <w:pPr>
              <w:spacing w:after="0"/>
            </w:pPr>
            <w:r>
              <w:t xml:space="preserve">042</w:t>
            </w:r>
          </w:p>
        </w:tc>
      </w:tr>
      <w:tr>
        <w:tc>
          <w:tcPr>
            <w:tcW w:w="4680" w:type="dxa"/>
          </w:tcPr>
          <w:p>
            <w:pPr>
              <w:spacing w:after="0"/>
            </w:pPr>
            <w:r>
              <w:t xml:space="preserve">Everything else</w:t>
            </w:r>
          </w:p>
        </w:tc>
        <w:tc>
          <w:tcPr>
            <w:tcW w:w="4680" w:type="dxa"/>
          </w:tcPr>
          <w:p>
            <w:pPr>
              <w:spacing w:after="0"/>
            </w:pPr>
            <w:r>
              <w:t xml:space="preserve">same as JRS</w:t>
            </w:r>
          </w:p>
        </w:tc>
      </w:tr>
    </w:tbl>
    <w:p>
      <w:pPr/>
      <w:r>
        <w:t/>
      </w:r>
    </w:p>
    <w:p>
      <w:pPr>
        <w:spacing w:after="140"/>
      </w:pPr>
      <w:r>
        <w:t xml:space="preserve">Pay </w:t>
      </w:r>
      <w:r>
        <w:rPr>
          <w:b/>
        </w:rPr>
        <w:t xml:space="preserve">$350</w:t>
      </w:r>
      <w:r>
        <w:t xml:space="preserve">. Save the serial number.</w:t>
      </w:r>
    </w:p>
    <w:p>
      <w:pPr>
        <w:pBdr>
          <w:bottom w:val="single" w:sz="6" w:space="1" w:color="AAAAAA"/>
        </w:pBdr>
      </w:pPr>
    </w:p>
    <w:p>
      <w:pPr>
        <w:pStyle w:val="Heading2"/>
        <w:spacing w:after="140"/>
      </w:pPr>
      <w:r>
        <w:t xml:space="preserve">STEP 7: What happens next, and what you have to do</w:t>
      </w:r>
    </w:p>
    <w:p>
      <w:pPr>
        <w:spacing w:after="140"/>
      </w:pPr>
      <w:r>
        <w:t xml:space="preserve">Nothing, for several months. Then:</w:t>
      </w:r>
    </w:p>
    <w:p>
      <w:pPr>
        <w:numPr>
          <w:ilvl w:val="0"/>
          <w:numId w:val="2"/>
        </w:numPr>
        <w:spacing w:after="60"/>
      </w:pPr>
      <w:r>
        <w:rPr>
          <w:b/>
        </w:rPr>
        <w:t xml:space="preserve">Roughly 6 to 9 months:</w:t>
      </w:r>
      <w:r>
        <w:t xml:space="preserve"> an examining attorney reviews it. They either approve it or send an </w:t>
      </w:r>
      <w:r>
        <w:rPr>
          <w:b/>
        </w:rPr>
        <w:t xml:space="preserve">Office Action</w:t>
      </w:r>
      <w:r>
        <w:t xml:space="preserve"> raising a problem. </w:t>
      </w:r>
      <w:r>
        <w:rPr>
          <w:b/>
        </w:rPr>
        <w:t xml:space="preserve">An Office Action has a hard deadline. Miss it and the application dies.</w:t>
      </w:r>
      <w:r>
        <w:t xml:space="preserve"> Diarise it the day it arrives.</w:t>
      </w:r>
    </w:p>
    <w:p>
      <w:pPr>
        <w:numPr>
          <w:ilvl w:val="0"/>
          <w:numId w:val="2"/>
        </w:numPr>
        <w:spacing w:after="60"/>
      </w:pPr>
      <w:r>
        <w:rPr>
          <w:b/>
        </w:rPr>
        <w:t xml:space="preserve">After approval:</w:t>
      </w:r>
      <w:r>
        <w:t xml:space="preserve"> the mark is published for </w:t>
      </w:r>
      <w:r>
        <w:rPr>
          <w:b/>
        </w:rPr>
        <w:t xml:space="preserve">30 days</w:t>
      </w:r>
      <w:r>
        <w:t xml:space="preserve"> so others can object.</w:t>
      </w:r>
    </w:p>
    <w:p>
      <w:pPr>
        <w:numPr>
          <w:ilvl w:val="0"/>
          <w:numId w:val="2"/>
        </w:numPr>
        <w:spacing w:after="60"/>
      </w:pPr>
      <w:r>
        <w:rPr>
          <w:b/>
        </w:rPr>
        <w:t xml:space="preserve">If nobody objects:</w:t>
      </w:r>
      <w:r>
        <w:t xml:space="preserve"> you get a </w:t>
      </w:r>
      <w:r>
        <w:rPr>
          <w:b/>
        </w:rPr>
        <w:t xml:space="preserve">Notice of Allowance</w:t>
      </w:r>
      <w:r>
        <w:t xml:space="preserve">. This is not a registration.</w:t>
      </w:r>
    </w:p>
    <w:p>
      <w:pPr>
        <w:numPr>
          <w:ilvl w:val="0"/>
          <w:numId w:val="2"/>
        </w:numPr>
        <w:spacing w:after="60"/>
      </w:pPr>
      <w:r>
        <w:rPr>
          <w:b/>
        </w:rPr>
        <w:t xml:space="preserve">From the Notice of Allowance you have 6 months</w:t>
      </w:r>
      <w:r>
        <w:t xml:space="preserve"> to file a </w:t>
      </w:r>
      <w:r>
        <w:rPr>
          <w:b/>
        </w:rPr>
        <w:t xml:space="preserve">Statement of Use</w:t>
      </w:r>
      <w:r>
        <w:t xml:space="preserve">, proving you are actually using the mark in business. </w:t>
      </w:r>
      <w:r>
        <w:rPr>
          <w:b/>
        </w:rPr>
        <w:t xml:space="preserve">$150 per class.</w:t>
      </w:r>
    </w:p>
    <w:p>
      <w:pPr>
        <w:numPr>
          <w:ilvl w:val="0"/>
          <w:numId w:val="2"/>
        </w:numPr>
        <w:spacing w:after="60"/>
      </w:pPr>
      <w:r>
        <w:rPr>
          <w:b/>
        </w:rPr>
        <w:t xml:space="preserve">If you are not using it yet</w:t>
      </w:r>
      <w:r>
        <w:t xml:space="preserve">, file an extension: </w:t>
      </w:r>
      <w:r>
        <w:rPr>
          <w:b/>
        </w:rPr>
        <w:t xml:space="preserve">$125 per class</w:t>
      </w:r>
      <w:r>
        <w:t xml:space="preserve">, every 6 months, up to </w:t>
      </w:r>
      <w:r>
        <w:rPr>
          <w:b/>
        </w:rPr>
        <w:t xml:space="preserve">five times</w:t>
      </w:r>
      <w:r>
        <w:t xml:space="preserve">. That is </w:t>
      </w:r>
      <w:r>
        <w:rPr>
          <w:b/>
        </w:rPr>
        <w:t xml:space="preserve">36 months maximum</w:t>
      </w:r>
      <w:r>
        <w:t xml:space="preserve"> from the Notice of Allowance.</w:t>
      </w:r>
    </w:p>
    <w:p>
      <w:pPr>
        <w:numPr>
          <w:ilvl w:val="0"/>
          <w:numId w:val="2"/>
        </w:numPr>
        <w:spacing w:after="60"/>
      </w:pPr>
      <w:r>
        <w:rPr>
          <w:b/>
        </w:rPr>
        <w:t xml:space="preserve">When you file the Statement of Use, the mark registers.</w:t>
      </w:r>
    </w:p>
    <w:p>
      <w:pPr>
        <w:spacing w:after="140"/>
      </w:pPr>
      <w:r>
        <w:rPr>
          <w:b/>
        </w:rPr>
        <w:t xml:space="preserve">Total realistic timeline: 12 to 18 months to Notice of Allowance, then up to 3 more years before you must show use.</w:t>
      </w:r>
    </w:p>
    <w:p>
      <w:pPr>
        <w:pBdr>
          <w:bottom w:val="single" w:sz="6" w:space="1" w:color="AAAAAA"/>
        </w:pBdr>
      </w:pPr>
    </w:p>
    <w:p>
      <w:pPr>
        <w:pStyle w:val="Heading2"/>
        <w:spacing w:after="140"/>
      </w:pPr>
      <w:r>
        <w:t xml:space="preserve">The two things that can actually hurt you</w:t>
      </w:r>
    </w:p>
    <w:p>
      <w:pPr>
        <w:pStyle w:val="Heading3"/>
        <w:spacing w:after="140"/>
      </w:pPr>
      <w:r>
        <w:t xml:space="preserve">1. An intent-to-use application cannot be freely sold</w:t>
      </w:r>
    </w:p>
    <w:p>
      <w:pPr>
        <w:spacing w:after="140"/>
      </w:pPr>
      <w:r>
        <w:t xml:space="preserve">This one matters more than anything else here, because selling the asset is the point.</w:t>
      </w:r>
    </w:p>
    <w:p>
      <w:pPr>
        <w:spacing w:after="140"/>
      </w:pPr>
      <w:r>
        <w:t xml:space="preserve">Federal law restricts assigning an intent-to-use application </w:t>
      </w:r>
      <w:r>
        <w:rPr>
          <w:b/>
        </w:rPr>
        <w:t xml:space="preserve">before</w:t>
      </w:r>
      <w:r>
        <w:t xml:space="preserve"> you file a Statement of Use. You cannot simply sell the application on its own. The exception is that it </w:t>
      </w:r>
      <w:r>
        <w:rPr>
          <w:b/>
        </w:rPr>
        <w:t xml:space="preserve">can</w:t>
      </w:r>
      <w:r>
        <w:t xml:space="preserve"> transfer to someone who acquires </w:t>
      </w:r>
      <w:r>
        <w:rPr>
          <w:b/>
        </w:rPr>
        <w:t xml:space="preserve">the ongoing business the mark belongs to.</w:t>
      </w:r>
    </w:p>
    <w:p>
      <w:pPr>
        <w:spacing w:after="140"/>
      </w:pPr>
      <w:r>
        <w:rPr>
          <w:b/>
        </w:rPr>
        <w:t xml:space="preserve">What this means for you in practice:</w:t>
      </w:r>
      <w:r>
        <w:t xml:space="preserve"> when you sell JRS, the paperwork must be a sale of the </w:t>
      </w:r>
      <w:r>
        <w:rPr>
          <w:b/>
        </w:rPr>
        <w:t xml:space="preserve">business and its assets</w:t>
      </w:r>
      <w:r>
        <w:t xml:space="preserve">, with the trademark applications as part of that package. It must not read as a bare sale of two trademark applications. Get that wording right in the sale agreement and the exception applies. Get it wrong and the applications can be void.</w:t>
      </w:r>
    </w:p>
    <w:p>
      <w:pPr>
        <w:spacing w:after="140"/>
      </w:pPr>
      <w:r>
        <w:rPr>
          <w:b/>
        </w:rPr>
        <w:t xml:space="preserve">Tell your attorney about this before signing anything.</w:t>
      </w:r>
      <w:r>
        <w:t xml:space="preserve"> It is a known trap and it is easy to avoid if you know about it in advance.</w:t>
      </w:r>
    </w:p>
    <w:p>
      <w:pPr>
        <w:pStyle w:val="Heading3"/>
        <w:spacing w:after="140"/>
      </w:pPr>
      <w:r>
        <w:t xml:space="preserve">2. You have to eventually use the marks, or they expire</w:t>
      </w:r>
    </w:p>
    <w:p>
      <w:pPr>
        <w:spacing w:after="140"/>
      </w:pPr>
      <w:r>
        <w:t xml:space="preserve">The clock is real: 36 months maximum after the Notice of Allowance, then the application goes abandoned and the fees are gone. Either you begin commercial use, or the buyer does. Research alone, given away for free, generally does not count as use in commerce.</w:t>
      </w:r>
    </w:p>
    <w:p>
      <w:pPr>
        <w:spacing w:after="140"/>
      </w:pPr>
      <w:r>
        <w:rPr>
          <w:b/>
        </w:rPr>
        <w:t xml:space="preserve">This is not a reason to delay filing.</w:t>
      </w:r>
      <w:r>
        <w:t xml:space="preserve"> Filing now establishes your priority date, and that priority date is part of what you are selling. It just means the applications need to reach a buyer well before that window closes.</w:t>
      </w:r>
    </w:p>
    <w:p>
      <w:pPr>
        <w:pBdr>
          <w:bottom w:val="single" w:sz="6" w:space="1" w:color="AAAAAA"/>
        </w:pBdr>
      </w:pPr>
    </w:p>
    <w:p>
      <w:pPr>
        <w:pStyle w:val="Heading2"/>
        <w:spacing w:after="140"/>
      </w:pPr>
      <w:r>
        <w:t xml:space="preserve">Your checklist</w:t>
      </w:r>
    </w:p>
    <w:p>
      <w:pPr>
        <w:numPr>
          <w:ilvl w:val="0"/>
          <w:numId w:val="1"/>
        </w:numPr>
        <w:spacing w:after="60"/>
      </w:pPr>
      <w:r>
        <w:t xml:space="preserve">[ ] </w:t>
      </w:r>
      <w:r>
        <w:rPr>
          <w:b/>
        </w:rPr>
        <w:t xml:space="preserve">Step 1</w:t>
      </w:r>
      <w:r>
        <w:t xml:space="preserve">: USPTO account created and identity verified </w:t>
      </w:r>
      <w:r>
        <w:rPr>
          <w:i/>
        </w:rPr>
        <w:t xml:space="preserve">(start today, it has a waiting period)</w:t>
      </w:r>
    </w:p>
    <w:p>
      <w:pPr>
        <w:numPr>
          <w:ilvl w:val="0"/>
          <w:numId w:val="1"/>
        </w:numPr>
        <w:spacing w:after="60"/>
      </w:pPr>
      <w:r>
        <w:t xml:space="preserve">[ ] </w:t>
      </w:r>
      <w:r>
        <w:rPr>
          <w:b/>
        </w:rPr>
        <w:t xml:space="preserve">Step 2</w:t>
      </w:r>
      <w:r>
        <w:t xml:space="preserve">: Searched JRS, DRR and both full phrases; noted any live 042 or 035 conflicts</w:t>
      </w:r>
    </w:p>
    <w:p>
      <w:pPr>
        <w:numPr>
          <w:ilvl w:val="0"/>
          <w:numId w:val="1"/>
        </w:numPr>
        <w:spacing w:after="60"/>
      </w:pPr>
      <w:r>
        <w:t xml:space="preserve">[ ] </w:t>
      </w:r>
      <w:r>
        <w:rPr>
          <w:b/>
        </w:rPr>
        <w:t xml:space="preserve">Step 3</w:t>
      </w:r>
      <w:r>
        <w:t xml:space="preserve">: Confirmed you are filing the acronyms as standard character marks</w:t>
      </w:r>
    </w:p>
    <w:p>
      <w:pPr>
        <w:numPr>
          <w:ilvl w:val="0"/>
          <w:numId w:val="1"/>
        </w:numPr>
        <w:spacing w:after="60"/>
      </w:pPr>
      <w:r>
        <w:t xml:space="preserve">[ ] </w:t>
      </w:r>
      <w:r>
        <w:rPr>
          <w:b/>
        </w:rPr>
        <w:t xml:space="preserve">Step 4</w:t>
      </w:r>
      <w:r>
        <w:t xml:space="preserve">: Picked descriptions from the ID Manual picker, not free text</w:t>
      </w:r>
    </w:p>
    <w:p>
      <w:pPr>
        <w:numPr>
          <w:ilvl w:val="0"/>
          <w:numId w:val="1"/>
        </w:numPr>
        <w:spacing w:after="60"/>
      </w:pPr>
      <w:r>
        <w:t xml:space="preserve">[ ] </w:t>
      </w:r>
      <w:r>
        <w:rPr>
          <w:b/>
        </w:rPr>
        <w:t xml:space="preserve">Step 5</w:t>
      </w:r>
      <w:r>
        <w:t xml:space="preserve">: JRS filed, Section 1(b), Class 042, $350, serial number saved</w:t>
      </w:r>
    </w:p>
    <w:p>
      <w:pPr>
        <w:numPr>
          <w:ilvl w:val="0"/>
          <w:numId w:val="1"/>
        </w:numPr>
        <w:spacing w:after="60"/>
      </w:pPr>
      <w:r>
        <w:t xml:space="preserve">[ ] </w:t>
      </w:r>
      <w:r>
        <w:rPr>
          <w:b/>
        </w:rPr>
        <w:t xml:space="preserve">Step 6</w:t>
      </w:r>
      <w:r>
        <w:t xml:space="preserve">: DRR filed, Section 1(b), class 042, $350, serial number saved</w:t>
      </w:r>
    </w:p>
    <w:p>
      <w:pPr>
        <w:numPr>
          <w:ilvl w:val="0"/>
          <w:numId w:val="1"/>
        </w:numPr>
        <w:spacing w:after="60"/>
      </w:pPr>
      <w:r>
        <w:t xml:space="preserve">[ ] </w:t>
      </w:r>
      <w:r>
        <w:rPr>
          <w:b/>
        </w:rPr>
        <w:t xml:space="preserve">Step 7</w:t>
      </w:r>
      <w:r>
        <w:t xml:space="preserve">: Calendar reminder set for 9 months to check status</w:t>
      </w:r>
    </w:p>
    <w:p>
      <w:pPr>
        <w:numPr>
          <w:ilvl w:val="0"/>
          <w:numId w:val="1"/>
        </w:numPr>
        <w:spacing w:after="60"/>
      </w:pPr>
      <w:r>
        <w:t xml:space="preserve">[ ] </w:t>
      </w:r>
      <w:r>
        <w:rPr>
          <w:b/>
        </w:rPr>
        <w:t xml:space="preserve">Sale</w:t>
      </w:r>
      <w:r>
        <w:t xml:space="preserve">: Attorney told about the intent-to-use assignment restriction</w:t>
      </w:r>
    </w:p>
    <w:p>
      <w:pPr>
        <w:pBdr>
          <w:bottom w:val="single" w:sz="6" w:space="1" w:color="AAAAAA"/>
        </w:pBdr>
      </w:pPr>
    </w:p>
    <w:p>
      <w:pPr>
        <w:pStyle w:val="Heading2"/>
        <w:spacing w:after="140"/>
      </w:pPr>
      <w:r>
        <w:t xml:space="preserve">One honest note</w:t>
      </w:r>
    </w:p>
    <w:p>
      <w:pPr>
        <w:spacing w:after="140"/>
      </w:pPr>
      <w:r>
        <w:t xml:space="preserve">I am not your attorney and this is not legal advice. Everything above is procedure and fees, verified against uspto.gov on 2026-08-12, and you can file an intent-to-use application yourself without a lawyer: many people do.</w:t>
      </w:r>
    </w:p>
    <w:p>
      <w:pPr>
        <w:spacing w:after="140"/>
      </w:pPr>
      <w:r>
        <w:t xml:space="preserve">The two places worth paying an attorney for are </w:t>
      </w:r>
      <w:r>
        <w:rPr>
          <w:b/>
        </w:rPr>
        <w:t xml:space="preserve">the conflict search in Step 2 if you find something live in 042 or 035</w:t>
      </w:r>
      <w:r>
        <w:t xml:space="preserve">, and </w:t>
      </w:r>
      <w:r>
        <w:rPr>
          <w:b/>
        </w:rPr>
        <w:t xml:space="preserve">the assignment wording in the sale agreement</w:t>
      </w:r>
      <w:r>
        <w:t xml:space="preserve">. An hour of their time on the second one is cheap next to voiding both applications.</w:t>
      </w:r>
    </w:p>
    <w:p>
      <w:pPr>
        <w:pBdr>
          <w:bottom w:val="single" w:sz="6" w:space="1" w:color="AAAAAA"/>
        </w:pBdr>
      </w:pPr>
    </w:p>
    <w:p>
      <w:pPr>
        <w:pStyle w:val="Heading2"/>
        <w:spacing w:after="140"/>
      </w:pPr>
      <w:r>
        <w:t xml:space="preserve">Sources</w:t>
      </w:r>
    </w:p>
    <w:p>
      <w:pPr>
        <w:numPr>
          <w:ilvl w:val="0"/>
          <w:numId w:val="1"/>
        </w:numPr>
        <w:spacing w:after="60"/>
      </w:pPr>
      <w:r>
        <w:t xml:space="preserve">Trademark fee information, USPTO (https://www.uspto.gov/trademarks/trademark-fee-information)</w:t>
      </w:r>
    </w:p>
    <w:p>
      <w:pPr>
        <w:numPr>
          <w:ilvl w:val="0"/>
          <w:numId w:val="1"/>
        </w:numPr>
        <w:spacing w:after="60"/>
      </w:pPr>
      <w:r>
        <w:t xml:space="preserve">Trademark applications, intent-to-use basis, USPTO (https://www.uspto.gov/trademarks/apply/intent-use-itu-applications)</w:t>
      </w:r>
    </w:p>
    <w:p>
      <w:pPr>
        <w:numPr>
          <w:ilvl w:val="0"/>
          <w:numId w:val="1"/>
        </w:numPr>
        <w:spacing w:after="60"/>
      </w:pPr>
      <w:r>
        <w:t xml:space="preserve">Section 1(b) timeline, USPTO (https://www.uspto.gov/trademarks/trademark-timelines/section-1b-timeline-application-based-intent-use)</w:t>
      </w:r>
    </w:p>
    <w:p>
      <w:pPr>
        <w:numPr>
          <w:ilvl w:val="0"/>
          <w:numId w:val="1"/>
        </w:numPr>
        <w:spacing w:after="60"/>
      </w:pPr>
      <w:r>
        <w:t xml:space="preserve">Additional fees for trademark applications, USPTO (https://www.uspto.gov/trademarks/additional-fees-trademark-applications)</w:t>
      </w:r>
    </w:p>
    <w:p>
      <w:pPr>
        <w:numPr>
          <w:ilvl w:val="0"/>
          <w:numId w:val="1"/>
        </w:numPr>
        <w:spacing w:after="60"/>
      </w:pPr>
      <w:r>
        <w:t xml:space="preserve">Summary of 2025 trademark fee changes, USPTO (https://www.uspto.gov/trademarks/fees-payment-information/summary-2025-trademark-fee-changes)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