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spacing w:after="140"/>
      </w:pPr>
      <w:r>
        <w:t xml:space="preserve">Human-authorship and style audit: findings</w:t>
      </w:r>
    </w:p>
    <w:p>
      <w:pPr>
        <w:spacing w:after="140"/>
      </w:pPr>
      <w:r>
        <w:rPr>
          <w:b/>
        </w:rPr>
        <w:t xml:space="preserve">Scope.</w:t>
      </w:r>
      <w:r>
        <w:t xml:space="preserve"> The six patterns named in the 2026-09-01 instruction, measured against the manuscript rather than assumed to be present.</w:t>
      </w:r>
    </w:p>
    <w:p>
      <w:pPr>
        <w:spacing w:after="140"/>
      </w:pPr>
      <w:r>
        <w:rPr>
          <w:b/>
        </w:rPr>
        <w:t xml:space="preserve">Result: five of the six are already absent or near-absent. The audit had very little to do, and manufacturing edits to make it look productive would have violated the instruction's own rule against changing language merely because it could be changed.</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tcPr>
          <w:p>
            <w:pPr>
              <w:spacing w:after="0"/>
            </w:pPr>
            <w:r>
              <w:t xml:space="preserve">Pattern</w:t>
            </w:r>
          </w:p>
        </w:tc>
        <w:tc>
          <w:tcPr>
            <w:tcW w:w="2340" w:type="dxa"/>
          </w:tcPr>
          <w:p>
            <w:pPr>
              <w:spacing w:after="0"/>
            </w:pPr>
            <w:r>
              <w:t xml:space="preserve">Instruction</w:t>
            </w:r>
          </w:p>
        </w:tc>
        <w:tc>
          <w:tcPr>
            <w:tcW w:w="2340" w:type="dxa"/>
          </w:tcPr>
          <w:p>
            <w:pPr>
              <w:spacing w:after="0"/>
            </w:pPr>
            <w:r>
              <w:t xml:space="preserve">Measured in the manuscript</w:t>
            </w:r>
          </w:p>
        </w:tc>
        <w:tc>
          <w:tcPr>
            <w:tcW w:w="2340" w:type="dxa"/>
          </w:tcPr>
          <w:p>
            <w:pPr>
              <w:spacing w:after="0"/>
            </w:pPr>
            <w:r>
              <w:t xml:space="preserve">Action</w:t>
            </w:r>
          </w:p>
        </w:tc>
      </w:tr>
      <w:tr>
        <w:tc>
          <w:tcPr>
            <w:tcW w:w="2340" w:type="dxa"/>
          </w:tcPr>
          <w:p>
            <w:pPr>
              <w:spacing w:after="0"/>
            </w:pPr>
            <w:r>
              <w:t xml:space="preserve">6. Transition language: Importantly, Notably, Crucially, More broadly, In this context, Taken together, At the same time, It is important to note</w:t>
            </w:r>
          </w:p>
        </w:tc>
        <w:tc>
          <w:tcPr>
            <w:tcW w:w="2340" w:type="dxa"/>
          </w:tcPr>
          <w:p>
            <w:pPr>
              <w:spacing w:after="0"/>
            </w:pPr>
            <w:r>
              <w:t xml:space="preserve">"Delete many of these"</w:t>
            </w:r>
          </w:p>
        </w:tc>
        <w:tc>
          <w:tcPr>
            <w:tcW w:w="2340" w:type="dxa"/>
          </w:tcPr>
          <w:p>
            <w:pPr>
              <w:spacing w:after="0"/>
            </w:pPr>
            <w:r>
              <w:rPr>
                <w:b/>
              </w:rPr>
              <w:t xml:space="preserve">Zero occurrences of all eight</w:t>
            </w:r>
          </w:p>
        </w:tc>
        <w:tc>
          <w:tcPr>
            <w:tcW w:w="2340" w:type="dxa"/>
          </w:tcPr>
          <w:p>
            <w:pPr>
              <w:spacing w:after="0"/>
            </w:pPr>
            <w:r>
              <w:t xml:space="preserve">None available</w:t>
            </w:r>
          </w:p>
        </w:tc>
      </w:tr>
      <w:tr>
        <w:tc>
          <w:tcPr>
            <w:tcW w:w="2340" w:type="dxa"/>
          </w:tcPr>
          <w:p>
            <w:pPr>
              <w:spacing w:after="0"/>
            </w:pPr>
            <w:r>
              <w:t xml:space="preserve">4. Symmetrical paragraph-ending summaries: "Taken together, these findings demonstrate...", "In sum", "Overall"</w:t>
            </w:r>
          </w:p>
        </w:tc>
        <w:tc>
          <w:tcPr>
            <w:tcW w:w="2340" w:type="dxa"/>
          </w:tcPr>
          <w:p>
            <w:pPr>
              <w:spacing w:after="0"/>
            </w:pPr>
            <w:r>
              <w:t xml:space="preserve">"Delete those"</w:t>
            </w:r>
          </w:p>
        </w:tc>
        <w:tc>
          <w:tcPr>
            <w:tcW w:w="2340" w:type="dxa"/>
          </w:tcPr>
          <w:p>
            <w:pPr>
              <w:spacing w:after="0"/>
            </w:pPr>
            <w:r>
              <w:rPr>
                <w:b/>
              </w:rPr>
              <w:t xml:space="preserve">Zero occurrences</w:t>
            </w:r>
          </w:p>
        </w:tc>
        <w:tc>
          <w:tcPr>
            <w:tcW w:w="2340" w:type="dxa"/>
          </w:tcPr>
          <w:p>
            <w:pPr>
              <w:spacing w:after="0"/>
            </w:pPr>
            <w:r>
              <w:t xml:space="preserve">None available</w:t>
            </w:r>
          </w:p>
        </w:tc>
      </w:tr>
      <w:tr>
        <w:tc>
          <w:tcPr>
            <w:tcW w:w="2340" w:type="dxa"/>
          </w:tcPr>
          <w:p>
            <w:pPr>
              <w:spacing w:after="0"/>
            </w:pPr>
            <w:r>
              <w:t xml:space="preserve">2. Repeated "This study / This analysis / This finding / This result / This paper" openings</w:t>
            </w:r>
          </w:p>
        </w:tc>
        <w:tc>
          <w:tcPr>
            <w:tcW w:w="2340" w:type="dxa"/>
          </w:tcPr>
          <w:p>
            <w:pPr>
              <w:spacing w:after="0"/>
            </w:pPr>
            <w:r>
              <w:t xml:space="preserve">"Replace some with the actual subject"</w:t>
            </w:r>
          </w:p>
        </w:tc>
        <w:tc>
          <w:tcPr>
            <w:tcW w:w="2340" w:type="dxa"/>
          </w:tcPr>
          <w:p>
            <w:pPr>
              <w:spacing w:after="0"/>
            </w:pPr>
            <w:r>
              <w:rPr>
                <w:b/>
              </w:rPr>
              <w:t xml:space="preserve">Three occurrences of "This study"</w:t>
            </w:r>
            <w:r>
              <w:t xml:space="preserve">, none of the other four, and none at a sentence opening that displaces a concrete subject</w:t>
            </w:r>
          </w:p>
        </w:tc>
        <w:tc>
          <w:tcPr>
            <w:tcW w:w="2340" w:type="dxa"/>
          </w:tcPr>
          <w:p>
            <w:pPr>
              <w:spacing w:after="0"/>
            </w:pPr>
            <w:r>
              <w:t xml:space="preserve">None warranted</w:t>
            </w:r>
          </w:p>
        </w:tc>
      </w:tr>
      <w:tr>
        <w:tc>
          <w:tcPr>
            <w:tcW w:w="2340" w:type="dxa"/>
          </w:tcPr>
          <w:p>
            <w:pPr>
              <w:spacing w:after="0"/>
            </w:pPr>
            <w:r>
              <w:t xml:space="preserve">1. Repeated three-part constructions</w:t>
            </w:r>
          </w:p>
        </w:tc>
        <w:tc>
          <w:tcPr>
            <w:tcW w:w="2340" w:type="dxa"/>
          </w:tcPr>
          <w:p>
            <w:pPr>
              <w:spacing w:after="0"/>
            </w:pPr>
            <w:r>
              <w:t xml:space="preserve">"Vary the structure"</w:t>
            </w:r>
          </w:p>
        </w:tc>
        <w:tc>
          <w:tcPr>
            <w:tcW w:w="2340" w:type="dxa"/>
          </w:tcPr>
          <w:p>
            <w:pPr>
              <w:spacing w:after="0"/>
            </w:pPr>
            <w:r>
              <w:rPr>
                <w:b/>
              </w:rPr>
              <w:t xml:space="preserve">Two three-item lists in 5,000 words</w:t>
            </w:r>
            <w:r>
              <w:t xml:space="preserve">: "determinations, opinions, and audits" and "dates, sequence, and sources". Both are enumerations of actual things, not rhetorical triads</w:t>
            </w:r>
          </w:p>
        </w:tc>
        <w:tc>
          <w:tcPr>
            <w:tcW w:w="2340" w:type="dxa"/>
          </w:tcPr>
          <w:p>
            <w:pPr>
              <w:spacing w:after="0"/>
            </w:pPr>
            <w:r>
              <w:t xml:space="preserve">None warranted</w:t>
            </w:r>
          </w:p>
        </w:tc>
      </w:tr>
      <w:tr>
        <w:tc>
          <w:tcPr>
            <w:tcW w:w="2340" w:type="dxa"/>
          </w:tcPr>
          <w:p>
            <w:pPr>
              <w:spacing w:after="0"/>
            </w:pPr>
            <w:r>
              <w:t xml:space="preserve">3. Excessive contrast constructions: not X but Y, rather than X</w:t>
            </w:r>
          </w:p>
        </w:tc>
        <w:tc>
          <w:tcPr>
            <w:tcW w:w="2340" w:type="dxa"/>
          </w:tcPr>
          <w:p>
            <w:pPr>
              <w:spacing w:after="0"/>
            </w:pPr>
            <w:r>
              <w:t xml:space="preserve">"Keep them only where the distinction is genuinely necessary"</w:t>
            </w:r>
          </w:p>
        </w:tc>
        <w:tc>
          <w:tcPr>
            <w:tcW w:w="2340" w:type="dxa"/>
          </w:tcPr>
          <w:p>
            <w:pPr>
              <w:spacing w:after="0"/>
            </w:pPr>
            <w:r>
              <w:rPr>
                <w:b/>
              </w:rPr>
              <w:t xml:space="preserve">Nine "rather than" constructions.</w:t>
            </w:r>
            <w:r>
              <w:t xml:space="preserve"> Each carries a substantive distinction the paper depends on: reconstructability rather than outcome, structural rather than the reviewer's own words, concordance rather than association, audit findings rather than appellate dispositions</w:t>
            </w:r>
          </w:p>
        </w:tc>
        <w:tc>
          <w:tcPr>
            <w:tcW w:w="2340" w:type="dxa"/>
          </w:tcPr>
          <w:p>
            <w:pPr>
              <w:spacing w:after="0"/>
            </w:pPr>
            <w:r>
              <w:t xml:space="preserve">None warranted</w:t>
            </w:r>
          </w:p>
        </w:tc>
      </w:tr>
      <w:tr>
        <w:tc>
          <w:tcPr>
            <w:tcW w:w="2340" w:type="dxa"/>
          </w:tcPr>
          <w:p>
            <w:pPr>
              <w:spacing w:after="0"/>
            </w:pPr>
            <w:r>
              <w:t xml:space="preserve">5. Forcing the acronym into every paragraph</w:t>
            </w:r>
          </w:p>
        </w:tc>
        <w:tc>
          <w:tcPr>
            <w:tcW w:w="2340" w:type="dxa"/>
          </w:tcPr>
          <w:p>
            <w:pPr>
              <w:spacing w:after="0"/>
            </w:pPr>
            <w:r>
              <w:t xml:space="preserve">"Use the formal term when it carries analytical meaning"</w:t>
            </w:r>
          </w:p>
        </w:tc>
        <w:tc>
          <w:tcPr>
            <w:tcW w:w="2340" w:type="dxa"/>
          </w:tcPr>
          <w:p>
            <w:pPr>
              <w:spacing w:after="0"/>
            </w:pPr>
            <w:r>
              <w:rPr>
                <w:b/>
              </w:rPr>
              <w:t xml:space="preserve">"DRR" does not appear in this manuscript at all.</w:t>
            </w:r>
            <w:r>
              <w:t xml:space="preserve"> The construct acronym belongs to the companion detection paper</w:t>
            </w:r>
          </w:p>
        </w:tc>
        <w:tc>
          <w:tcPr>
            <w:tcW w:w="2340" w:type="dxa"/>
          </w:tcPr>
          <w:p>
            <w:pPr>
              <w:spacing w:after="0"/>
            </w:pPr>
            <w:r>
              <w:t xml:space="preserve">None available</w:t>
            </w:r>
          </w:p>
        </w:tc>
      </w:tr>
    </w:tbl>
    <w:p>
      <w:pPr/>
      <w:r>
        <w:t/>
      </w:r>
    </w:p>
    <w:p>
      <w:pPr>
        <w:pStyle w:val="Heading2"/>
        <w:spacing w:after="140"/>
      </w:pPr>
      <w:r>
        <w:t xml:space="preserve">Why nothing was changed here</w:t>
      </w:r>
    </w:p>
    <w:p>
      <w:pPr>
        <w:spacing w:after="140"/>
      </w:pPr>
      <w:r>
        <w:t xml:space="preserve">The instruction's own standard is the right one: </w:t>
      </w:r>
      <w:r>
        <w:rPr>
          <w:i/>
        </w:rPr>
        <w:t xml:space="preserve">"Every paragraph must contain a reason a practitioner or researcher would have written it."</w:t>
      </w:r>
      <w:r>
        <w:t xml:space="preserve"> Applied to this manuscript, the sentences that would be candidates for deletion under patterns 3 and 4 are the ones doing the analytical work. The nine "rather than" constructions are not stylistic tics; they are the boundary statements that keep the paper's claims narrow, which is the same property the ten surgical corrections were designed to strengthen.</w:t>
      </w:r>
    </w:p>
    <w:p>
      <w:pPr>
        <w:spacing w:after="140"/>
      </w:pPr>
      <w:r>
        <w:rPr>
          <w:b/>
        </w:rPr>
        <w:t xml:space="preserve">Deleting them would have widened the claims the corrections just narrowed.</w:t>
      </w:r>
    </w:p>
    <w:p>
      <w:pPr>
        <w:pStyle w:val="Heading2"/>
        <w:spacing w:after="140"/>
      </w:pPr>
      <w:r>
        <w:t xml:space="preserve">One observation the audit did produce</w:t>
      </w:r>
    </w:p>
    <w:p>
      <w:pPr>
        <w:spacing w:after="140"/>
      </w:pPr>
      <w:r>
        <w:t xml:space="preserve">The manuscript's prose was already disciplined against these patterns before this pass. That is consistent with a document that has been through repeated narrowing rather than one generated in a single sweep. The corrections applied today operate on </w:t>
      </w:r>
      <w:r>
        <w:rPr>
          <w:b/>
        </w:rPr>
        <w:t xml:space="preserve">claim terminology</w:t>
      </w:r>
      <w:r>
        <w:t xml:space="preserve">, not on prose rhythm, which is where this manuscript's actual editorial risk sat.</w:t>
      </w:r>
    </w:p>
    <w:sectPr>
      <w:pgSz w:w="12240" w:h="15840"/>
      <w:pgMar w:top="1440" w:right="1440" w:bottom="1440" w:left="1440"/>
    </w:sectPr>
  </w:body>
</w:document>
</file>

<file path=word/numbering.xml><?xml version="1.0" encoding="utf-8"?>
<w:numbering xmlns:w="http://schemas.openxmlformats.org/wordprocessingml/2006/main" xmlns:r="http://schemas.openxmlformats.org/officeDocument/2006/relationships">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xmlns:r="http://schemas.openxmlformats.org/officeDocument/2006/relationships">
  <w:style w:type="character" w:styleId="Hyperlink">
    <w:name w:val="Hyperlink"/>
    <w:rPr>
      <w:color w:val="0563C1"/>
      <w:u w:val="single"/>
    </w:rPr>
  </w:style>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