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the Basis Be Rebuilt? A Record-Level Documentation Quality Review of 32 Public-Records Cases</w:t>
      </w:r>
    </w:p>
    <w:p w14:paraId="77BAF8B0" w14:textId="77777777" w:rsidR="0019445B" w:rsidRDefault="00000000">
      <w:pPr>
        <w:spacing w:after="140"/>
      </w:pPr>
      <w:r>
        <w:rPr>
          <w:b/>
        </w:rPr>
        <w:t>Stacyann Young</w:t>
      </w:r>
      <w:r>
        <w:t xml:space="preserve"> Independent Researcher</w:t>
      </w:r>
    </w:p>
    <w:p w14:paraId="5AE35F6A" w14:textId="77777777" w:rsidR="0019445B" w:rsidRDefault="00000000">
      <w:pPr>
        <w:spacing w:after="140"/>
      </w:pPr>
      <w:r>
        <w:rPr>
          <w:b/>
        </w:rPr>
        <w:t>Phillip Wikes</w:t>
      </w:r>
      <w:r>
        <w:t xml:space="preserve"> Creator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t xml:space="preserve">Purpose.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t xml:space="preserve">Design/methodology/approach.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t xml:space="preserve">Findings.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t xml:space="preserve">Research limitations/implications. The corpus is small, non-random and limited to two jurisdictions. Reliability evidence is preliminary because only 10 cases received an independent blind re-read.</w:t>
      </w:r>
    </w:p>
    <w:p>
      <w:pPr>
        <w:spacing w:after="140"/>
      </w:pPr>
      <w:r>
        <w:t xml:space="preserve">Practical implications. The findings suggest that reconstructability can be examined at the record level before a consequential record is finalised. A structured review that records both the assessment and its basis may provide an additional mechanism for identifying documentation weaknesses before records are subject to later audit, review or challenge.</w:t>
      </w:r>
    </w:p>
    <w:p>
      <w:pPr>
        <w:spacing w:after="140"/>
      </w:pPr>
      <w:r>
        <w:t xml:space="preserve">Originality/value.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are available from the authors.</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a large volume of material and still fail to show how a particular administrative conclusion was reached. The relevant question is whether the relationship between the decision, the supporting material, and the stated reasoning remains sufficiently visible for later review. That distinction places documentation quality alongside more familiar concerns about retention, accessibility, authenticity, and accountability.</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framework</w:t>
      </w:r>
    </w:p>
    <w:p>
      <w:pPr>
        <w:spacing w:after="140"/>
      </w:pPr>
      <w:r>
        <w:t xml:space="preserve">The study applies a structured record-level review framework developed to assess whether a consequential decision can later be reconstructed from the record itself. The framework is referred to in this study as the Justification Review Standard (JRS).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pPr>
        <w:spacing w:after="140"/>
      </w:pPr>
      <w: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14:paraId="3EE3BC12" w14:textId="77777777" w:rsidR="0019445B" w:rsidRDefault="00000000">
      <w:pPr>
        <w:spacing w:after="140"/>
      </w:pPr>
      <w:r>
        <w:t>Construct validity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14:paraId="41B2DEAC" w14:textId="77777777" w:rsidR="0019445B" w:rsidRDefault="00000000">
      <w:pPr>
        <w:spacing w:after="140"/>
      </w:pPr>
      <w:r>
        <w:t>Discriminant validity tests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14:paraId="1D4DF865" w14:textId="77777777" w:rsidR="0019445B" w:rsidRDefault="00000000">
      <w:pPr>
        <w:spacing w:after="140"/>
      </w:pPr>
      <w:r>
        <w:t>Reads across the 32 cases: 18 Ready, 9 Needs work, 5 Gap. Documented outcomes: 15 determinations did not survive review, 7 contested without a recorded disposition, 5 sustained, 5 adverse audit findings.</w:t>
      </w:r>
      <w:r>
        <w:t xml:space="preserve">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provides an initial applied case set for examining record-level reconstructability across publicly available public-records materials.</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14:paraId="57363ADF" w14:textId="77777777" w:rsidR="0019445B" w:rsidRDefault="00000000">
      <w:pPr>
        <w:spacing w:after="140"/>
      </w:pPr>
      <w:r>
        <w:t>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of convergence between the record-level read and independently identified evidentiary deficiencies.</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analyzed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pattern is consistent with the reads reflecting the presence or absence of a rebuildable basis, which is the property the instrument was designed to examine, rather than appellate outcome alone. The coding is post-hoc, which is why it is reported as construct evidence rather than as a confirmatory test, and the contemporaneous notes are what make it checkable by anyone re-reading the case set.</w:t>
      </w:r>
    </w:p>
    <w:p>
      <w:pPr>
        <w:pStyle w:val="Heading3"/>
        <w:spacing w:after="140"/>
      </w:pPr>
      <w:r>
        <w:t xml:space="preserve">6.4 Documentation reads differed across source classes according to the extent of basis exposure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14:paraId="76143A9D" w14:textId="77777777" w:rsidR="0019445B" w:rsidRDefault="00000000">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w:t>
      </w:r>
      <w:r>
        <w:lastRenderedPageBreak/>
        <w:t>itself. Court decisions summarize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instrument separates document classes by how much reconstructable basis each one carries, in the direction the construct predicts, using a variable independent of the reviewer's notes. Case type and read are not independent in this corpus, which is why Section 6.2 is reported as concordance rather than association, and the same collinearity bounds what Section 6.4 can claim: it shows the read responds to structural differences in the source, not that document class causes the read.</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Within this 10-case blind re-read, the Gap category was reproduced exactly, although the sample is too small to treat this result as a stable estimate of category-specific reliability.</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showed patterns consistent with the construct it was designed to examine.</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14:paraId="26208827" w14:textId="77777777" w:rsidR="0019445B" w:rsidRDefault="00000000">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w:t>
      </w:r>
      <w:proofErr w:type="spellStart"/>
      <w:r>
        <w:t>reconstructability</w:t>
      </w:r>
      <w:proofErr w:type="spellEnd"/>
      <w:r>
        <w:t xml:space="preserve">, catching the case where better tooling produces fluent but </w:t>
      </w:r>
      <w:proofErr w:type="spellStart"/>
      <w:r>
        <w:t>unreconstructable</w:t>
      </w:r>
      <w:proofErr w:type="spellEnd"/>
      <w:r>
        <w:t xml:space="preserve"> records.</w:t>
      </w:r>
    </w:p>
    <w:p>
      <w:pPr>
        <w:spacing w:after="140"/>
      </w:pPr>
      <w:r>
        <w:t xml:space="preserve">For public-records programs, the practical form is simpler than the research form. Determinations that identify the applicable exemption, document the records located and produced, and connect stated reasoning to cited authority provide a clearer basis for later review by auditors, appeals bodies, and other independent reviewers. The five conditions could be adapted for use as a pre-issuance review checklist as well as a research instrument. This pilot did not test whether using such a checklist improves documentation quality, lowers reversal rates, or produces other substantive outcomes.</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t xml:space="preserve">Pre-finalisation quality assurance.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finalized: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t xml:space="preserve">Retrospective review. Records functions can use reconstructability review to examine consequential records already in the system, particularly where audit, appeal or regulatory exposure makes later explanation likely.</w:t>
      </w:r>
    </w:p>
    <w:p>
      <w:pPr>
        <w:spacing w:after="140"/>
      </w:pPr>
      <w:r>
        <w:t xml:space="preserve">Audit sampling.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pStyle w:val="Heading2"/>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and is reported as construct evidence rather than as a confirmatory test.</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five-case comparison with independent audits provides preliminary evidence of agreement rather than a stable estimate of convergent validity. In this corpus, document class and read are also not independent, which limits the interpretation of the comparisons in Sections 6.2 and 6.4.</w:t>
      </w:r>
    </w:p>
    <w:p w14:paraId="5AE0E97F" w14:textId="77777777" w:rsidR="0019445B" w:rsidRDefault="00000000">
      <w:pPr>
        <w:spacing w:after="140"/>
      </w:pPr>
      <w:r>
        <w:t>The corpus is two states, New York and Connecticut. Generalization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organizations retain information that is accessible, reliable, and capable of supporting accountability. Reconstructability adds a related question for consequential administrative records: when the decision is examined later, does the record preserve enough of its evidentiary basis and reasoning to explain how the organization acted?</w:t>
      </w:r>
    </w:p>
    <w:p>
      <w:pPr>
        <w:spacing w:after="140"/>
      </w:pPr>
      <w:r>
        <w:t xml:space="preserve">The answer matters independently of the technology used to create the record. Systems will change. Drafting tools will change. The requirement that an organization be able to account for consequential decisions from its own records will remain.</w:t>
      </w:r>
    </w:p>
    <w:p w14:paraId="762EB877" w14:textId="77777777" w:rsidR="0019445B" w:rsidRDefault="00000000">
      <w:pPr>
        <w:pStyle w:val="Heading2"/>
        <w:spacing w:after="140"/>
      </w:pPr>
      <w:r>
        <w:t>References</w:t>
      </w:r>
    </w:p>
    <w:p w14:paraId="796797DA" w14:textId="77777777" w:rsidR="0019445B" w:rsidRDefault="00000000">
      <w:pPr>
        <w:spacing w:after="140"/>
      </w:pPr>
      <w:r>
        <w:t xml:space="preserve">Chief FOIA Officers Council. (2026, May 28). </w:t>
      </w:r>
      <w:r>
        <w:rPr>
          <w:i/>
        </w:rPr>
        <w:t>Memorandum: data collection and volunteers</w:t>
      </w:r>
      <w:r>
        <w:t xml:space="preserve"> [Government-wide FOIA technology inventory initiative]. United States Department of Justice.</w:t>
      </w:r>
    </w:p>
    <w:p w14:paraId="16397252" w14:textId="77777777" w:rsidR="0019445B" w:rsidRDefault="00000000">
      <w:pPr>
        <w:spacing w:after="140"/>
      </w:pPr>
      <w:proofErr w:type="spellStart"/>
      <w:r>
        <w:t>Gwet</w:t>
      </w:r>
      <w:proofErr w:type="spellEnd"/>
      <w:r>
        <w:t xml:space="preserve">, K. L. (2008). Computing inter-rater reliability and its variance in the presence of high agreement. </w:t>
      </w:r>
      <w:r>
        <w:rPr>
          <w:i/>
        </w:rPr>
        <w:t>British Journal of Mathematical and Statistical Psychology, 61</w:t>
      </w:r>
      <w:r>
        <w:t>(1), 29-48.</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