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40"/>
      </w:pPr>
      <w:r>
        <w:t xml:space="preserve">Cover letter</w:t>
      </w:r>
    </w:p>
    <w:p>
      <w:pPr>
        <w:spacing w:after="140"/>
      </w:pPr>
      <w:r>
        <w:t xml:space="preserve">To the Editor, </w:t>
      </w:r>
      <w:r>
        <w:rPr>
          <w:i/>
        </w:rPr>
        <w:t xml:space="preserve">Records Management Journal</w:t>
      </w:r>
    </w:p>
    <w:p>
      <w:pPr>
        <w:spacing w:after="140"/>
      </w:pPr>
      <w:r>
        <w:t xml:space="preserve">We submit </w:t>
      </w:r>
      <w:r>
        <w:rPr>
          <w:b/>
        </w:rPr>
        <w:t xml:space="preserve">"Can the Basis Be Rebuilt? A Record-Level Documentation Quality Review of 32 Public-Records Cases"</w:t>
      </w:r>
      <w:r>
        <w:t xml:space="preserve"> for consideration.</w:t>
      </w:r>
    </w:p>
    <w:p>
      <w:pPr>
        <w:spacing w:after="140"/>
      </w:pPr>
      <w:r>
        <w:rPr>
          <w:b/>
        </w:rPr>
        <w:t xml:space="preserve">The problem.</w:t>
      </w:r>
      <w:r>
        <w:t xml:space="preserve"> Records and information governance has instruments for retention, classification, access and disposal, and fewer for the sufficiency of an individual record as evidence of the decision it documents. A completeness checklist records whether required fields were filled. It does not record whether what was written can be rebuilt into the reasoning by a reader who was not there, which is what an appeal, an audit or a court actually tests.</w:t>
      </w:r>
    </w:p>
    <w:p>
      <w:pPr>
        <w:spacing w:after="140"/>
      </w:pPr>
      <w:r>
        <w:rPr>
          <w:b/>
        </w:rPr>
        <w:t xml:space="preserve">What we did.</w:t>
      </w:r>
      <w:r>
        <w:t xml:space="preserve"> We applied a three-level record-level read, Ready, Needs work or Gap, to 32 publicly available cases from 32 distinct sources across four document classes and two states, issued between 2005 and 2026. For each case the read and a short contemporaneous note giving its basis were recorded from the source alone, before the documented outcome was consulted.</w:t>
      </w:r>
    </w:p>
    <w:p>
      <w:pPr>
        <w:spacing w:after="140"/>
      </w:pPr>
      <w:r>
        <w:rPr>
          <w:b/>
        </w:rPr>
        <w:t xml:space="preserve">What we found.</w:t>
      </w:r>
      <w:r>
        <w:t xml:space="preserve"> The read agreed with independent government auditors in every case where both assessments existed, five of five: in each of those, a state or city Comptroller had separately recorded that the agency could not evidence its own responses. It tracked reconstructability rather than outcome, and it separated document classes by how much basis each exposes. A test against appellate outcome is null, which is the expected boundary condition rather than a weak instrument, since published decisions are selected for contested legal questions rather than for thin files.</w:t>
      </w:r>
    </w:p>
    <w:p>
      <w:pPr>
        <w:spacing w:after="140"/>
      </w:pPr>
      <w:r>
        <w:rPr>
          <w:b/>
        </w:rPr>
        <w:t xml:space="preserve">Why this journal.</w:t>
      </w:r>
      <w:r>
        <w:t xml:space="preserve"> The corpus is public records; the subject is recordkeeping evidence. The question generalises to any consequential record that will later be read cold. We have written a practical implications section for practitioners because the finding that matters operationally is that reconstructability can be assessed before a determination is finalised rather than after it is challenged.</w:t>
      </w:r>
    </w:p>
    <w:p>
      <w:pPr>
        <w:spacing w:after="140"/>
      </w:pPr>
      <w:r>
        <w:rPr>
          <w:b/>
        </w:rPr>
        <w:t xml:space="preserve">What we do not claim.</w:t>
      </w:r>
      <w:r>
        <w:t xml:space="preserve"> We do not claim that applying the read improves documentation or reduces adverse findings. The corpus is 32 cases from two states drawn from published sources. A blind second read by an independent reviewer agreed on 7 of 10, below our pre-registered lower bound, so the reliability evidence is interim and is reported as such rather than omitted.</w:t>
      </w:r>
    </w:p>
    <w:p>
      <w:pPr>
        <w:spacing w:after="140"/>
      </w:pPr>
      <w:r>
        <w:rPr>
          <w:b/>
        </w:rPr>
        <w:t xml:space="preserve">Declarations.</w:t>
      </w:r>
      <w:r>
        <w:t xml:space="preserve"> The manuscript is original, is not under consideration elsewhere, and has not been published in whole or in part. Both authors contributed in their personal professional capacities, without institutional affiliation and without funding. The research does not represent the views of any government entity, and no nonpublic government material was used. The complete case set, the contemporaneous basis notes, the coding frames and the analysis script are available to reviewers on request; every figure in the paper is reproducible from them with the Python standard library and no network access.</w:t>
      </w:r>
    </w:p>
    <w:sectPr>
      <w:pgSz w:w="12240" w:h="15840"/>
      <w:pgMar w:top="1440" w:right="1440" w:bottom="1440" w:left="1440"/>
    </w:sectPr>
  </w:body>
</w:document>
</file>

<file path=word/numbering.xml><?xml version="1.0" encoding="utf-8"?>
<w:numbering xmlns:w="http://schemas.openxmlformats.org/wordprocessingml/2006/main" xmlns:r="http://schemas.openxmlformats.org/officeDocument/2006/relationships">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w:style w:type="character" w:styleId="Hyperlink">
    <w:name w:val="Hyperlink"/>
    <w:rPr>
      <w:color w:val="0563C1"/>
      <w:u w:val="single"/>
    </w:rPr>
  </w:style>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