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666666"/>
          <w:spacing w:val="40"/>
          <w:sz w:val="15"/>
          <w:szCs w:val="15"/>
        </w:rPr>
        <w:t xml:space="preserve">LEGAL / GOVERNANCE AUDIENCE    |    LITIGATION RISK    |    AI-ASSISTED DOCUMENTATION</w:t>
      </w:r>
    </w:p>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How the gap between polished AI narrative and verifiable evidence creates litigation exposure, and how practitioners can ensure defensible records.</w:t>
      </w:r>
    </w:p>
    <w:p>
      <w:pPr>
        <w:spacing w:after="30"/>
      </w:pPr>
      <w:r>
        <w:rPr>
          <w:rFonts w:ascii="Georgia" w:cs="Georgia" w:eastAsia="Georgia" w:hAnsi="Georgia"/>
          <w:b/>
          <w:bCs/>
          <w:color w:val="141414"/>
          <w:sz w:val="26"/>
          <w:szCs w:val="26"/>
        </w:rPr>
        <w:t xml:space="preserve">By Phillip Wikes and Gabriela Bar</w:t>
      </w:r>
    </w:p>
    <w:p>
      <w:pPr>
        <w:pBdr>
          <w:bottom w:val="single" w:color="7A5E28" w:sz="6" w:space="8"/>
        </w:pBdr>
        <w:spacing w:after="130"/>
      </w:pPr>
      <w:r>
        <w:rPr>
          <w:rFonts w:ascii="Georgia" w:cs="Georgia" w:eastAsia="Georgia" w:hAnsi="Georgia"/>
          <w:i/>
          <w:iCs/>
          <w:color w:val="555555"/>
          <w:sz w:val="18"/>
          <w:szCs w:val="18"/>
        </w:rPr>
        <w:t xml:space="preserve">Phillip Wikes, AI Governance and Cognitive Risk Advisor, former Lead Civil Rights Officer, Maryland Commission on Civil Rights.  Gabriela Bar, PhD, Attorney at Law, founder of Gabriela Bar Law and AI (Wroclaw), advising on trustworthy AI and data-protection law.</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One of us spent more than a decade reading discrimination files for a state civil rights agency. The cases that caused the most worry were rarely the ones with an obvious flaw. They were the ones where the file read cleanly, the conclusion sat neatly at the end, and nothing beneath it explained how anyone had arrived there. A record can look finished and still be hollow.</w:t>
      </w:r>
    </w:p>
    <w:p>
      <w:pPr>
        <w:spacing w:after="130"/>
        <w:jc w:val="both"/>
      </w:pPr>
      <w:r>
        <w:rPr>
          <w:rFonts w:ascii="Georgia" w:cs="Georgia" w:eastAsia="Georgia" w:hAnsi="Georgia"/>
          <w:color w:val="1a1a1a"/>
          <w:sz w:val="21"/>
          <w:szCs w:val="21"/>
        </w:rPr>
        <w:t xml:space="preserve">In employment disputes, the written record carries primary evidentiary weight. When it falls short, every other element of the case becomes harder to defend.</w:t>
      </w:r>
    </w:p>
    <w:p>
      <w:pPr>
        <w:spacing w:after="130"/>
        <w:jc w:val="both"/>
      </w:pPr>
      <w:r>
        <w:rPr>
          <w:rFonts w:ascii="Georgia" w:cs="Georgia" w:eastAsia="Georgia" w:hAnsi="Georgia"/>
          <w:color w:val="1a1a1a"/>
          <w:sz w:val="21"/>
          <w:szCs w:val="21"/>
        </w:rPr>
        <w:t xml:space="preserve">An AI-assisted draft reads like a finished record. The sentences are confident, the structure is coherent, and the conclusions sound reasoned. The relevant discovery question is whether the document is tied back to the facts it asserts. That gap, between fluent narrative and verifiable evidence, is the central concern of this article.</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explain, on its own terms, why a decision was made. The evidentiary deficit is DRR seen from the litigation side: when the reasoning behind a record cannot be reconstructed, the decision cannot be defended.</w:t>
      </w:r>
    </w:p>
    <w:p>
      <w:pPr>
        <w:spacing w:after="130"/>
        <w:jc w:val="both"/>
      </w:pPr>
      <w:r>
        <w:rPr>
          <w:rFonts w:ascii="Georgia" w:cs="Georgia" w:eastAsia="Georgia" w:hAnsi="Georgia"/>
          <w:color w:val="1a1a1a"/>
          <w:sz w:val="21"/>
          <w:szCs w:val="21"/>
        </w:rPr>
        <w:t xml:space="preserve">Courts and regulators have always relied on contemporaneous documentation to test whether a decision was lawful, consistent, and free of bias. As organizations move more of their drafting into AI-assisted tools, the evidentiary integrity of the resulting records becomes a genuine legal issue, not a theoretical one.</w:t>
      </w:r>
    </w:p>
    <w:p>
      <w:pPr>
        <w:spacing w:after="130"/>
        <w:jc w:val="both"/>
      </w:pPr>
      <w:r>
        <w:rPr>
          <w:rFonts w:ascii="Georgia" w:cs="Georgia" w:eastAsia="Georgia" w:hAnsi="Georgia"/>
          <w:color w:val="1a1a1a"/>
          <w:sz w:val="21"/>
          <w:szCs w:val="21"/>
        </w:rPr>
        <w:t xml:space="preserve">AI-assisted documentation is treated as presumptively discoverable. Drafting workflows should be built on that assumption from the start.</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record must do more than state a conclusion. It has to show the factual basis behind that conclusion. When the documentation cannot substantiate the reasoning it claims to reflect, the organization loses the very evidence it needs to defend the decision.</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Picture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Transatlantic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further below by co-author Gabriela Bar.</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Can the record be understood independently of its author? Are its conclusions supported by verifiable, non-AI-generated evidence? Can a neutral reviewer reconstruct the reasoning without additional explanation?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The drafting tool has changed. The evidentiary test has not. Risk arises where evidentiary traceability is absent, which is to say where Decision Reconstruction Risk is present. Records are evaluated on whether the evidentiary architecture behind them is visible, reproducible, and capable of withstanding scrutiny in both discovery and regulatory review.</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providers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 Learn more: https://jrsstandard.com</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2026-07-24T13:46:07.282Z</dcterms:created>
  <dcterms:modified xsi:type="dcterms:W3CDTF">2026-07-24T13:46:07.283Z</dcterms:modified>
</cp:coreProperties>
</file>

<file path=docProps/custom.xml><?xml version="1.0" encoding="utf-8"?>
<Properties xmlns="http://schemas.openxmlformats.org/officeDocument/2006/custom-properties" xmlns:vt="http://schemas.openxmlformats.org/officeDocument/2006/docPropsVTypes"/>
</file>