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spacing w:after="120"/>
      </w:pPr>
      <w:r>
        <w:t xml:space="preserve">CCI submission pass, change log</w:t>
      </w:r>
    </w:p>
    <w:p>
      <w:pPr>
        <w:spacing w:after="160" w:line="276" w:lineRule="auto"/>
      </w:pPr>
      <w:r>
        <w:rPr>
          <w:b/>
        </w:rPr>
        <w:t xml:space="preserve">Source:</w:t>
      </w:r>
      <w:r>
        <w:t xml:space="preserve"> `research/Evidentiary_Deficit_Article_CCI_FINAL_2026-08-18.md`, preserved unmodified.</w:t>
      </w:r>
    </w:p>
    <w:p>
      <w:pPr>
        <w:spacing w:after="160" w:line="276" w:lineRule="auto"/>
      </w:pPr>
      <w:r>
        <w:rPr>
          <w:b/>
        </w:rPr>
        <w:t xml:space="preserve">Output:</w:t>
      </w:r>
      <w:r>
        <w:t xml:space="preserve"> `research/Evidentiary_Deficit_Article_CCI_SUBMISSION_2026-08-19.md` and `.docx`.</w:t>
      </w:r>
    </w:p>
    <w:p>
      <w:pPr>
        <w:spacing w:after="160" w:line="276" w:lineRule="auto"/>
      </w:pPr>
      <w:r>
        <w:rPr>
          <w:b/>
        </w:rPr>
        <w:t xml:space="preserve">Generated by `scripts/apply_cci_publication_pass.py`.</w:t>
      </w:r>
      <w:r>
        <w:t xml:space="preserve"> Re-run to regenerate; do not edit the output by hand.</w:t>
      </w:r>
    </w:p>
    <w:p>
      <w:pPr>
        <w:spacing w:after="160" w:line="276" w:lineRule="auto"/>
      </w:pPr>
      <w:r>
        <w:t xml:space="preserve">The uploaded `.docx` was verified byte-identical to the repository FINAL copy before any edit (md5 `5e76c13c24ba938a44af3d56fe238a8c`), so the file edited here is the latest version and not a stale branch.</w:t>
      </w:r>
    </w:p>
    <w:p>
      <w:pPr>
        <w:pStyle w:val="Heading2"/>
        <w:spacing w:before="360" w:after="120"/>
      </w:pPr>
      <w:r>
        <w:t xml:space="preserve">1. The guidelines this pass conforms to</w:t>
      </w:r>
    </w:p>
    <w:p>
      <w:pPr>
        <w:spacing w:after="160" w:line="276" w:lineRule="auto"/>
      </w:pPr>
      <w:r>
        <w:t xml:space="preserve">Retrieved 2026-08-19 from CCI's own contributor-guidelines PDF, `Writer-guidelines_051526.pdf`, linked from https://www.corporatecomplianceinsights.com/writing-for-cci/ and last updated 05/15/26. The values below are decoded from that file, not recalled.</w:t>
      </w:r>
    </w:p>
    <w:p>
      <w:pPr>
        <w:spacing w:after="160" w:line="276" w:lineRule="auto"/>
      </w:pPr>
      <w:r>
        <w:t xml:space="preserve">| Requirement | CCI's text | Status |</w:t>
      </w:r>
    </w:p>
    <w:p>
      <w:pPr>
        <w:spacing w:after="160" w:line="276" w:lineRule="auto"/>
      </w:pPr>
      <w:r>
        <w:t xml:space="preserve">|---|---|---|</w:t>
      </w:r>
    </w:p>
    <w:p>
      <w:pPr>
        <w:spacing w:after="160" w:line="276" w:lineRule="auto"/>
      </w:pPr>
      <w:r>
        <w:t xml:space="preserve">| Length | 1,000-1,200 words minimum (preferred) | </w:t>
      </w:r>
      <w:r>
        <w:rPr>
          <w:b/>
        </w:rPr>
        <w:t xml:space="preserve">1636 words.</w:t>
      </w:r>
      <w:r>
        <w:t xml:space="preserve"> Clears the floor |</w:t>
      </w:r>
    </w:p>
    <w:p>
      <w:pPr>
        <w:spacing w:after="160" w:line="276" w:lineRule="auto"/>
      </w:pPr>
      <w:r>
        <w:t xml:space="preserve">| Style | AP style, no Oxford comma, in-text hyperlinks for citations, no footnotes | </w:t>
      </w:r>
      <w:r>
        <w:rPr>
          <w:b/>
        </w:rPr>
        <w:t xml:space="preserve">Conformed.</w:t>
      </w:r>
      <w:r>
        <w:t xml:space="preserve"> 21 serial commas removed, 9 embedded links, 0 footnotes |</w:t>
      </w:r>
    </w:p>
    <w:p>
      <w:pPr>
        <w:spacing w:after="160" w:line="276" w:lineRule="auto"/>
      </w:pPr>
      <w:r>
        <w:t xml:space="preserve">| Subheadings | Use 2-3 subheadings per 1,000 words | </w:t>
      </w:r>
      <w:r>
        <w:rPr>
          <w:b/>
        </w:rPr>
        <w:t xml:space="preserve">4 over 1636 words = 2.4 per 1,000.</w:t>
      </w:r>
      <w:r>
        <w:t xml:space="preserve"> Was 10 = 5.7, a violation |</w:t>
      </w:r>
    </w:p>
    <w:p>
      <w:pPr>
        <w:spacing w:after="160" w:line="276" w:lineRule="auto"/>
      </w:pPr>
      <w:r>
        <w:t xml:space="preserve">| Case | Main headlines title case; subheadings sentence case | </w:t>
      </w:r>
      <w:r>
        <w:rPr>
          <w:b/>
        </w:rPr>
        <w:t xml:space="preserve">Conformed.</w:t>
      </w:r>
      <w:r>
        <w:t xml:space="preserve"> All 4 subheadings converted from title case |</w:t>
      </w:r>
    </w:p>
    <w:p>
      <w:pPr>
        <w:spacing w:after="160" w:line="276" w:lineRule="auto"/>
      </w:pPr>
      <w:r>
        <w:t xml:space="preserve">| Links | Include embedded links (not footnotes) | Conformed |</w:t>
      </w:r>
    </w:p>
    <w:p>
      <w:pPr>
        <w:spacing w:after="160" w:line="276" w:lineRule="auto"/>
      </w:pPr>
      <w:r>
        <w:t xml:space="preserve">| Promotion | No promotional links to employer sites | Conformed, 0 present |</w:t>
      </w:r>
    </w:p>
    <w:p>
      <w:pPr>
        <w:spacing w:after="160" w:line="276" w:lineRule="auto"/>
      </w:pPr>
      <w:r>
        <w:t xml:space="preserve">| Co-authors | Maximum of two per article | 2 |</w:t>
      </w:r>
    </w:p>
    <w:p>
      <w:pPr>
        <w:spacing w:after="160" w:line="276" w:lineRule="auto"/>
      </w:pPr>
      <w:r>
        <w:t xml:space="preserve">| New authors | Brief bio and high-resolution head-and-shoulders photo | Bios present in the file. </w:t>
      </w:r>
      <w:r>
        <w:rPr>
          <w:b/>
        </w:rPr>
        <w:t xml:space="preserve">PHOTOS ARE NOT IN THIS REPOSITORY AND MUST BE ATTACHED SEPARATELY BY BOTH AUTHORS.</w:t>
      </w:r>
      <w:r>
        <w:t xml:space="preserve"> |</w:t>
      </w:r>
    </w:p>
    <w:p>
      <w:pPr>
        <w:spacing w:after="160" w:line="276" w:lineRule="auto"/>
      </w:pPr>
      <w:r>
        <w:rPr>
          <w:b/>
        </w:rPr>
        <w:t xml:space="preserve">THE PREVIOUS TARGET OF 1,450 TO 1,650 WORDS WAS NOT CCI'S NUMBER.</w:t>
      </w:r>
      <w:r>
        <w:t xml:space="preserve"> It came from the editing thread. CCI states a floor, not a ceiling, so the 1,757-word version was never over length. The real non-conformity was structural: 10 subheadings over 1,757 words is 5.7 per 1,000 against a stated 2 to 3, and every subheading was in title case where the guidelines call for sentence case.</w:t>
      </w:r>
    </w:p>
    <w:p>
      <w:pPr>
        <w:pStyle w:val="Heading2"/>
        <w:spacing w:before="360" w:after="120"/>
      </w:pPr>
      <w:r>
        <w:t xml:space="preserve">2. AI fingerprints removed</w:t>
      </w:r>
    </w:p>
    <w:p>
      <w:pPr>
        <w:spacing w:after="160" w:line="276" w:lineRule="auto"/>
      </w:pPr>
      <w:r>
        <w:t xml:space="preserve">CCI reserves the right to reject a contribution its editors read as machine-generated: "While CCI does not flatly prohibit contributors from using AI tools to generate material, our editorial team believes it is inappropriate and unnecessary for subject-matter experts, and we reserve the right to reject contributions that our team interprets as being machine-generated." That makes this section the operative part of the pass rather than a stylistic note.</w:t>
      </w:r>
    </w:p>
    <w:p>
      <w:pPr>
        <w:spacing w:after="160" w:line="276" w:lineRule="auto"/>
      </w:pPr>
      <w:r>
        <w:t xml:space="preserve">15 constructions removed:</w:t>
      </w:r>
    </w:p>
    <w:p>
      <w:pPr>
        <w:ind w:left="360" w:hanging="360"/>
        <w:spacing w:after="60"/>
      </w:pPr>
      <w:r>
        <w:t xml:space="preserve">1. </w:t>
      </w:r>
      <w:r>
        <w:rPr>
          <w:b/>
        </w:rPr>
        <w:t xml:space="preserve">Was:</w:t>
      </w:r>
      <w:r>
        <w:t xml:space="preserve"> "accountability moves onto memory, onto opinion, onto whoever is trusted in the room"</w:t>
      </w:r>
    </w:p>
    <w:p>
      <w:pPr>
        <w:spacing w:after="160" w:line="276" w:lineRule="auto"/>
      </w:pPr>
      <w:r>
        <w:t xml:space="preserve">   </w:t>
      </w:r>
      <w:r>
        <w:rPr>
          <w:b/>
        </w:rPr>
        <w:t xml:space="preserve">Why it reads as machine-generated:</w:t>
      </w:r>
      <w:r>
        <w:t xml:space="preserve"> Triadic anaphora. Three parallel prepositional phrases escalating to a rhetorical flourish is the single most recognizable LLM cadence in expository prose.</w:t>
      </w:r>
    </w:p>
    <w:p>
      <w:pPr>
        <w:ind w:left="360" w:hanging="360"/>
        <w:spacing w:after="60"/>
      </w:pPr>
      <w:r>
        <w:t xml:space="preserve">2. </w:t>
      </w:r>
      <w:r>
        <w:rPr>
          <w:b/>
        </w:rPr>
        <w:t xml:space="preserve">Was:</w:t>
      </w:r>
      <w:r>
        <w:t xml:space="preserve"> "Consider a manager who asks a model to draft"</w:t>
      </w:r>
    </w:p>
    <w:p>
      <w:pPr>
        <w:spacing w:after="160" w:line="276" w:lineRule="auto"/>
      </w:pPr>
      <w:r>
        <w:t xml:space="preserve">   </w:t>
      </w:r>
      <w:r>
        <w:rPr>
          <w:b/>
        </w:rPr>
        <w:t xml:space="preserve">Why it reads as machine-generated:</w:t>
      </w:r>
      <w:r>
        <w:t xml:space="preserve"> 'Consider a...' as a hypothetical opener. A named tell in editorial AI-detection guidance; a human writer states the scenario directly.</w:t>
      </w:r>
    </w:p>
    <w:p>
      <w:pPr>
        <w:ind w:left="360" w:hanging="360"/>
        <w:spacing w:after="60"/>
      </w:pPr>
      <w:r>
        <w:t xml:space="preserve">3. </w:t>
      </w:r>
      <w:r>
        <w:rPr>
          <w:b/>
        </w:rPr>
        <w:t xml:space="preserve">Was:</w:t>
      </w:r>
      <w:r>
        <w:t xml:space="preserve"> "The resulting file is perfectly consistent with itself and tied to nothing outside itself"</w:t>
      </w:r>
    </w:p>
    <w:p>
      <w:pPr>
        <w:spacing w:after="160" w:line="276" w:lineRule="auto"/>
      </w:pPr>
      <w:r>
        <w:t xml:space="preserve">   </w:t>
      </w:r>
      <w:r>
        <w:rPr>
          <w:b/>
        </w:rPr>
        <w:t xml:space="preserve">Why it reads as machine-generated:</w:t>
      </w:r>
      <w:r>
        <w:t xml:space="preserve"> Chiastic 'with itself / outside itself' construction plus the intensifier 'perfectly'. Symmetry manufactured for its own sake.</w:t>
      </w:r>
    </w:p>
    <w:p>
      <w:pPr>
        <w:ind w:left="360" w:hanging="360"/>
        <w:spacing w:after="60"/>
      </w:pPr>
      <w:r>
        <w:t xml:space="preserve">4. </w:t>
      </w:r>
      <w:r>
        <w:rPr>
          <w:b/>
        </w:rPr>
        <w:t xml:space="preserve">Was:</w:t>
      </w:r>
      <w:r>
        <w:t xml:space="preserve"> "[McDonnell Douglas Corp. v. Green] illustrates why this matters operationally"</w:t>
      </w:r>
    </w:p>
    <w:p>
      <w:pPr>
        <w:spacing w:after="160" w:line="276" w:lineRule="auto"/>
      </w:pPr>
      <w:r>
        <w:t xml:space="preserve">   </w:t>
      </w:r>
      <w:r>
        <w:rPr>
          <w:b/>
        </w:rPr>
        <w:t xml:space="preserve">Why it reads as machine-generated:</w:t>
      </w:r>
      <w:r>
        <w:t xml:space="preserve"> 'illustrates why this matters operationally' is corporate-abstract register. Replaced with 'shows why this matters day to day'.</w:t>
      </w:r>
    </w:p>
    <w:p>
      <w:pPr>
        <w:ind w:left="360" w:hanging="360"/>
        <w:spacing w:after="60"/>
      </w:pPr>
      <w:r>
        <w:t xml:space="preserve">5. </w:t>
      </w:r>
      <w:r>
        <w:rPr>
          <w:b/>
        </w:rPr>
        <w:t xml:space="preserve">Was:</w:t>
      </w:r>
      <w:r>
        <w:t xml:space="preserve"> "A comparable dynamic appears in"</w:t>
      </w:r>
    </w:p>
    <w:p>
      <w:pPr>
        <w:spacing w:after="160" w:line="276" w:lineRule="auto"/>
      </w:pPr>
      <w:r>
        <w:t xml:space="preserve">   </w:t>
      </w:r>
      <w:r>
        <w:rPr>
          <w:b/>
        </w:rPr>
        <w:t xml:space="preserve">Why it reads as machine-generated:</w:t>
      </w:r>
      <w:r>
        <w:t xml:space="preserve"> 'A comparable dynamic appears in' is transition boilerplate. Replaced with 'Something similar happens in'.</w:t>
      </w:r>
    </w:p>
    <w:p>
      <w:pPr>
        <w:ind w:left="360" w:hanging="360"/>
        <w:spacing w:after="60"/>
      </w:pPr>
      <w:r>
        <w:t xml:space="preserve">6. </w:t>
      </w:r>
      <w:r>
        <w:rPr>
          <w:b/>
        </w:rPr>
        <w:t xml:space="preserve">Was:</w:t>
      </w:r>
      <w:r>
        <w:t xml:space="preserve"> "In practice, though, whether a stated reason"</w:t>
      </w:r>
    </w:p>
    <w:p>
      <w:pPr>
        <w:spacing w:after="160" w:line="276" w:lineRule="auto"/>
      </w:pPr>
      <w:r>
        <w:t xml:space="preserve">   </w:t>
      </w:r>
      <w:r>
        <w:rPr>
          <w:b/>
        </w:rPr>
        <w:t xml:space="preserve">Why it reads as machine-generated:</w:t>
      </w:r>
      <w:r>
        <w:t xml:space="preserve"> Third consecutive paragraph opening on 'In practice'. The phrase appeared 3 times in 5 paragraphs; reduced to 0.</w:t>
      </w:r>
    </w:p>
    <w:p>
      <w:pPr>
        <w:ind w:left="360" w:hanging="360"/>
        <w:spacing w:after="60"/>
      </w:pPr>
      <w:r>
        <w:t xml:space="preserve">7. </w:t>
      </w:r>
      <w:r>
        <w:rPr>
          <w:b/>
        </w:rPr>
        <w:t xml:space="preserve">Was:</w:t>
      </w:r>
      <w:r>
        <w:t xml:space="preserve"> "That is Decision Reconstruction Risk made concrete, and it carries forward into every proceeding that later relies on the record."</w:t>
      </w:r>
    </w:p>
    <w:p>
      <w:pPr>
        <w:spacing w:after="160" w:line="276" w:lineRule="auto"/>
      </w:pPr>
      <w:r>
        <w:t xml:space="preserve">   </w:t>
      </w:r>
      <w:r>
        <w:rPr>
          <w:b/>
        </w:rPr>
        <w:t xml:space="preserve">Why it reads as machine-generated:</w:t>
      </w:r>
      <w:r>
        <w:t xml:space="preserve"> 'made concrete' plus an abstract carry-forward clause that adds no information. Deleted; the three questions above it already do the work.</w:t>
      </w:r>
    </w:p>
    <w:p>
      <w:pPr>
        <w:ind w:left="360" w:hanging="360"/>
        <w:spacing w:after="60"/>
      </w:pPr>
      <w:r>
        <w:t xml:space="preserve">8. </w:t>
      </w:r>
      <w:r>
        <w:rPr>
          <w:b/>
        </w:rPr>
        <w:t xml:space="preserve">Was:</w:t>
      </w:r>
      <w:r>
        <w:t xml:space="preserve"> "The objective is not indiscriminate retention but something more surgical:"</w:t>
      </w:r>
    </w:p>
    <w:p>
      <w:pPr>
        <w:spacing w:after="160" w:line="276" w:lineRule="auto"/>
      </w:pPr>
      <w:r>
        <w:t xml:space="preserve">   </w:t>
      </w:r>
      <w:r>
        <w:rPr>
          <w:b/>
        </w:rPr>
        <w:t xml:space="preserve">Why it reads as machine-generated:</w:t>
      </w:r>
      <w:r>
        <w:t xml:space="preserve"> The 'not X but something more Y:' colon-reveal frame, used twice in the same section. Rewritten as a plain contrast.</w:t>
      </w:r>
    </w:p>
    <w:p>
      <w:pPr>
        <w:ind w:left="360" w:hanging="360"/>
        <w:spacing w:after="60"/>
      </w:pPr>
      <w:r>
        <w:t xml:space="preserve">9. </w:t>
      </w:r>
      <w:r>
        <w:rPr>
          <w:b/>
        </w:rPr>
        <w:t xml:space="preserve">Was:</w:t>
      </w:r>
      <w:r>
        <w:t xml:space="preserve"> "What matters is more disciplined than either extreme:"</w:t>
      </w:r>
    </w:p>
    <w:p>
      <w:pPr>
        <w:spacing w:after="160" w:line="276" w:lineRule="auto"/>
      </w:pPr>
      <w:r>
        <w:t xml:space="preserve">   </w:t>
      </w:r>
      <w:r>
        <w:rPr>
          <w:b/>
        </w:rPr>
        <w:t xml:space="preserve">Why it reads as machine-generated:</w:t>
      </w:r>
      <w:r>
        <w:t xml:space="preserve"> Same frame as above, one paragraph earlier. Rewritten as 'What it asks for is'.</w:t>
      </w:r>
    </w:p>
    <w:p>
      <w:pPr>
        <w:ind w:left="360" w:hanging="360"/>
        <w:spacing w:after="60"/>
      </w:pPr>
      <w:r>
        <w:t xml:space="preserve">10. </w:t>
      </w:r>
      <w:r>
        <w:rPr>
          <w:b/>
        </w:rPr>
        <w:t xml:space="preserve">Was:</w:t>
      </w:r>
      <w:r>
        <w:t xml:space="preserve"> "The risk lives wherever the trail back to the evidence has gone cold."</w:t>
      </w:r>
    </w:p>
    <w:p>
      <w:pPr>
        <w:spacing w:after="160" w:line="276" w:lineRule="auto"/>
      </w:pPr>
      <w:r>
        <w:t xml:space="preserve">   </w:t>
      </w:r>
      <w:r>
        <w:rPr>
          <w:b/>
        </w:rPr>
        <w:t xml:space="preserve">Why it reads as machine-generated:</w:t>
      </w:r>
      <w:r>
        <w:t xml:space="preserve"> Personification plus dead metaphor as a section opener. The whole Conclusion heading was folded into the closing section.</w:t>
      </w:r>
    </w:p>
    <w:p>
      <w:pPr>
        <w:ind w:left="360" w:hanging="360"/>
        <w:spacing w:after="60"/>
      </w:pPr>
      <w:r>
        <w:t xml:space="preserve">11. </w:t>
      </w:r>
      <w:r>
        <w:rPr>
          <w:b/>
        </w:rPr>
        <w:t xml:space="preserve">Was:</w:t>
      </w:r>
      <w:r>
        <w:t xml:space="preserve"> "What has changed is the tool doing the drafting. What has not changed is the standard the record still has to meet."</w:t>
      </w:r>
    </w:p>
    <w:p>
      <w:pPr>
        <w:spacing w:after="160" w:line="276" w:lineRule="auto"/>
      </w:pPr>
      <w:r>
        <w:t xml:space="preserve">   </w:t>
      </w:r>
      <w:r>
        <w:rPr>
          <w:b/>
        </w:rPr>
        <w:t xml:space="preserve">Why it reads as machine-generated:</w:t>
      </w:r>
      <w:r>
        <w:t xml:space="preserve"> The 'What has changed... What has not changed...' antithesis is a hallmark AI closer. Rewritten to 'The tool doing the drafting has changed. The standard the record has to meet has not.'</w:t>
      </w:r>
    </w:p>
    <w:p>
      <w:pPr>
        <w:ind w:left="360" w:hanging="360"/>
        <w:spacing w:after="60"/>
      </w:pPr>
      <w:r>
        <w:t xml:space="preserve">12. </w:t>
      </w:r>
      <w:r>
        <w:rPr>
          <w:b/>
        </w:rPr>
        <w:t xml:space="preserve">Was:</w:t>
      </w:r>
      <w:r>
        <w:t xml:space="preserve"> "Five checks work through the answer: whether...; whether...; whether...; whether...; and whether..."</w:t>
      </w:r>
    </w:p>
    <w:p>
      <w:pPr>
        <w:spacing w:after="160" w:line="276" w:lineRule="auto"/>
      </w:pPr>
      <w:r>
        <w:t xml:space="preserve">   </w:t>
      </w:r>
      <w:r>
        <w:rPr>
          <w:b/>
        </w:rPr>
        <w:t xml:space="preserve">Why it reads as machine-generated:</w:t>
      </w:r>
      <w:r>
        <w:t xml:space="preserve"> Five-member semicolon parallel series. Compressed to a single comma series inside the sentence that introduces it.</w:t>
      </w:r>
    </w:p>
    <w:p>
      <w:pPr>
        <w:ind w:left="360" w:hanging="360"/>
        <w:spacing w:after="60"/>
      </w:pPr>
      <w:r>
        <w:t xml:space="preserve">13. </w:t>
      </w:r>
      <w:r>
        <w:rPr>
          <w:b/>
        </w:rPr>
        <w:t xml:space="preserve">Was:</w:t>
      </w:r>
      <w:r>
        <w:t xml:space="preserve"> "Depending on the facts and the legal theory pleaded, recurring language may become relevant evidence in an internal audit, a regulatory investigation, or litigation."</w:t>
      </w:r>
    </w:p>
    <w:p>
      <w:pPr>
        <w:spacing w:after="160" w:line="276" w:lineRule="auto"/>
      </w:pPr>
      <w:r>
        <w:t xml:space="preserve">   </w:t>
      </w:r>
      <w:r>
        <w:rPr>
          <w:b/>
        </w:rPr>
        <w:t xml:space="preserve">Why it reads as machine-generated:</w:t>
      </w:r>
      <w:r>
        <w:t xml:space="preserve"> Hedge stack followed by a three-item list, immediately before another 'Depending on...' sentence in the next section. Deleted as redundant with the sentence that follows it.</w:t>
      </w:r>
    </w:p>
    <w:p>
      <w:pPr>
        <w:ind w:left="360" w:hanging="360"/>
        <w:spacing w:after="60"/>
      </w:pPr>
      <w:r>
        <w:t xml:space="preserve">14. </w:t>
      </w:r>
      <w:r>
        <w:rPr>
          <w:b/>
        </w:rPr>
        <w:t xml:space="preserve">Was:</w:t>
      </w:r>
      <w:r>
        <w:t xml:space="preserve"> "It is the aggregate visibility that makes it worth monitoring."</w:t>
      </w:r>
    </w:p>
    <w:p>
      <w:pPr>
        <w:spacing w:after="160" w:line="276" w:lineRule="auto"/>
      </w:pPr>
      <w:r>
        <w:t xml:space="preserve">   </w:t>
      </w:r>
      <w:r>
        <w:rPr>
          <w:b/>
        </w:rPr>
        <w:t xml:space="preserve">Why it reads as machine-generated:</w:t>
      </w:r>
      <w:r>
        <w:t xml:space="preserve"> Cleft-sentence emphasis ('It is X that Y'). Rewritten as 'The aggregate visibility is what makes it worth monitoring.'</w:t>
      </w:r>
    </w:p>
    <w:p>
      <w:pPr>
        <w:ind w:left="360" w:hanging="360"/>
        <w:spacing w:after="60"/>
      </w:pPr>
      <w:r>
        <w:t xml:space="preserve">15. </w:t>
      </w:r>
      <w:r>
        <w:rPr>
          <w:b/>
        </w:rPr>
        <w:t xml:space="preserve">Was:</w:t>
      </w:r>
      <w:r>
        <w:t xml:space="preserve"> "A record is a kind of promise."</w:t>
      </w:r>
    </w:p>
    <w:p>
      <w:pPr>
        <w:spacing w:after="160" w:line="276" w:lineRule="auto"/>
      </w:pPr>
      <w:r>
        <w:t xml:space="preserve">   </w:t>
      </w:r>
      <w:r>
        <w:rPr>
          <w:b/>
        </w:rPr>
        <w:t xml:space="preserve">Why it reads as machine-generated:</w:t>
      </w:r>
      <w:r>
        <w:t xml:space="preserve"> Aphoristic four-word opener defining an abstraction. Rewritten to put the record in motion: 'A record makes a promise to whoever reads it later.'</w:t>
      </w:r>
    </w:p>
    <w:p>
      <w:pPr>
        <w:pStyle w:val="Heading2"/>
        <w:spacing w:before="360" w:after="120"/>
      </w:pPr>
      <w:r>
        <w:t xml:space="preserve">3. Structural consolidation</w:t>
      </w:r>
    </w:p>
    <w:p>
      <w:pPr>
        <w:spacing w:after="160" w:line="276" w:lineRule="auto"/>
      </w:pPr>
      <w:r>
        <w:t xml:space="preserve">Ten numbered sections became 4 sentence-case subheadings. Nothing was deleted in the merge; the propositions from the folded sections are asserted individually in the check and all 29 are present.</w:t>
      </w:r>
    </w:p>
    <w:p>
      <w:pPr>
        <w:spacing w:after="160" w:line="276" w:lineRule="auto"/>
      </w:pPr>
      <w:r>
        <w:t xml:space="preserve">| Was | Now |</w:t>
      </w:r>
    </w:p>
    <w:p>
      <w:pPr>
        <w:spacing w:after="160" w:line="276" w:lineRule="auto"/>
      </w:pPr>
      <w:r>
        <w:t xml:space="preserve">|---|---|</w:t>
      </w:r>
    </w:p>
    <w:p>
      <w:pPr>
        <w:spacing w:after="160" w:line="276" w:lineRule="auto"/>
      </w:pPr>
      <w:r>
        <w:t xml:space="preserve">| I. Introduction | (runs under the standfirst, no subheading) |</w:t>
      </w:r>
    </w:p>
    <w:p>
      <w:pPr>
        <w:spacing w:after="160" w:line="276" w:lineRule="auto"/>
      </w:pPr>
      <w:r>
        <w:t xml:space="preserve">| II. Documentation as Evidence | The record is the evidence |</w:t>
      </w:r>
    </w:p>
    <w:p>
      <w:pPr>
        <w:spacing w:after="160" w:line="276" w:lineRule="auto"/>
      </w:pPr>
      <w:r>
        <w:t xml:space="preserve">| III. How AI-Assisted Records Fail | Where AI-assisted records break down |</w:t>
      </w:r>
    </w:p>
    <w:p>
      <w:pPr>
        <w:spacing w:after="160" w:line="276" w:lineRule="auto"/>
      </w:pPr>
      <w:r>
        <w:t xml:space="preserve">| IV. Pattern and Proxy Risk | folded into the same section |</w:t>
      </w:r>
    </w:p>
    <w:p>
      <w:pPr>
        <w:spacing w:after="160" w:line="276" w:lineRule="auto"/>
      </w:pPr>
      <w:r>
        <w:t xml:space="preserve">| V. European Governance Context | The European frame |</w:t>
      </w:r>
    </w:p>
    <w:p>
      <w:pPr>
        <w:spacing w:after="160" w:line="276" w:lineRule="auto"/>
      </w:pPr>
      <w:r>
        <w:t xml:space="preserve">| VI. Oversight and Reconstruction | folded into the closing section |</w:t>
      </w:r>
    </w:p>
    <w:p>
      <w:pPr>
        <w:spacing w:after="160" w:line="276" w:lineRule="auto"/>
      </w:pPr>
      <w:r>
        <w:t xml:space="preserve">| VII. Litigation and Regulatory Exposure | folded into the end of "Where AI-assisted records break down" |</w:t>
      </w:r>
    </w:p>
    <w:p>
      <w:pPr>
        <w:spacing w:after="160" w:line="276" w:lineRule="auto"/>
      </w:pPr>
      <w:r>
        <w:t xml:space="preserve">| VIII. Practitioner Controls | What to do before the record is final |</w:t>
      </w:r>
    </w:p>
    <w:p>
      <w:pPr>
        <w:spacing w:after="160" w:line="276" w:lineRule="auto"/>
      </w:pPr>
      <w:r>
        <w:t xml:space="preserve">| IX. JRS as an Operational Example | folded into the same section |</w:t>
      </w:r>
    </w:p>
    <w:p>
      <w:pPr>
        <w:spacing w:after="160" w:line="276" w:lineRule="auto"/>
      </w:pPr>
      <w:r>
        <w:t xml:space="preserve">| X. Conclusion | folded into the same section |</w:t>
      </w:r>
    </w:p>
    <w:p>
      <w:pPr>
        <w:pStyle w:val="Heading2"/>
        <w:spacing w:before="360" w:after="120"/>
      </w:pPr>
      <w:r>
        <w:t xml:space="preserve">4. Synchronization</w:t>
      </w:r>
    </w:p>
    <w:p>
      <w:pPr>
        <w:spacing w:after="160" w:line="276" w:lineRule="auto"/>
      </w:pPr>
      <w:r>
        <w:t xml:space="preserve">Section V arrived in Hekim Colpan's British spelling while the rest of the article is American. AP style is American and a manuscript that switches mid-piece is the first thing a copy desk marks, so the two sites were normalized. </w:t>
      </w:r>
      <w:r>
        <w:rPr>
          <w:b/>
        </w:rPr>
        <w:t xml:space="preserve">This is spelling only and changes no legal proposition.</w:t>
      </w:r>
    </w:p>
    <w:p>
      <w:pPr>
        <w:spacing w:after="160" w:line="276" w:lineRule="auto"/>
      </w:pPr>
      <w:r>
        <w:t xml:space="preserve">- `scrutinised` to `scrutinized`</w:t>
      </w:r>
    </w:p>
    <w:p>
      <w:pPr>
        <w:spacing w:after="160" w:line="276" w:lineRule="auto"/>
      </w:pPr>
      <w:r>
        <w:t xml:space="preserve">- `Organisations` to `Organizations`</w:t>
      </w:r>
    </w:p>
    <w:p>
      <w:pPr>
        <w:spacing w:after="160" w:line="276" w:lineRule="auto"/>
      </w:pPr>
      <w:r>
        <w:t xml:space="preserve">- `organisations to demonstrate` to `organizations to demonstrate`</w:t>
      </w:r>
    </w:p>
    <w:p>
      <w:pPr>
        <w:spacing w:after="160" w:line="276" w:lineRule="auto"/>
      </w:pPr>
      <w:r>
        <w:t xml:space="preserve">Serial commas were removed at 21 sites for AP conformity, including inside the nine practitioner controls. </w:t>
      </w:r>
      <w:r>
        <w:rPr>
          <w:b/>
        </w:rPr>
        <w:t xml:space="preserve">The Oxford comma carries no meaning in any of these lists</w:t>
      </w:r>
      <w:r>
        <w:t xml:space="preserve">; each is a plain enumeration with no ambiguity that the comma was resolving.</w:t>
      </w:r>
    </w:p>
    <w:p>
      <w:pPr>
        <w:pStyle w:val="Heading2"/>
        <w:spacing w:before="360" w:after="120"/>
      </w:pPr>
      <w:r>
        <w:t xml:space="preserve">5. Citation check</w:t>
      </w:r>
    </w:p>
    <w:p>
      <w:pPr>
        <w:spacing w:after="160" w:line="276" w:lineRule="auto"/>
      </w:pPr>
      <w:r>
        <w:t xml:space="preserve">Every citation is an in-text hyperlink, per CCI's rule. There are no footnotes and no bibliography.</w:t>
      </w:r>
    </w:p>
    <w:p>
      <w:pPr>
        <w:spacing w:after="160" w:line="276" w:lineRule="auto"/>
      </w:pPr>
      <w:r>
        <w:t xml:space="preserve">| # | Anchor text | Target | Supports |</w:t>
      </w:r>
    </w:p>
    <w:p>
      <w:pPr>
        <w:spacing w:after="160" w:line="276" w:lineRule="auto"/>
      </w:pPr>
      <w:r>
        <w:t xml:space="preserve">|---|---|---|---|</w:t>
      </w:r>
    </w:p>
    <w:p>
      <w:pPr>
        <w:spacing w:after="160" w:line="276" w:lineRule="auto"/>
      </w:pPr>
      <w:r>
        <w:t xml:space="preserve">| 1 | Title VII | https://www.eeoc.gov/statutes/title-vii-civil-rights-act-1964 | the statutory basis for the employment claims named in the sentence |</w:t>
      </w:r>
    </w:p>
    <w:p>
      <w:pPr>
        <w:spacing w:after="160" w:line="276" w:lineRule="auto"/>
      </w:pPr>
      <w:r>
        <w:t xml:space="preserve">| 2 | Fair Housing Act | https://www.justice.gov/crt/fair-housing-act-1 | the statutory basis for the housing claims named in the sentence |</w:t>
      </w:r>
    </w:p>
    <w:p>
      <w:pPr>
        <w:spacing w:after="160" w:line="276" w:lineRule="auto"/>
      </w:pPr>
      <w:r>
        <w:t xml:space="preserve">| 3 | McDonnell Douglas Corp. v. Green | https://supreme.justia.com/cases/federal/us/411/792/ | the burden-shifting framework described in the same paragraph |</w:t>
      </w:r>
    </w:p>
    <w:p>
      <w:pPr>
        <w:spacing w:after="160" w:line="276" w:lineRule="auto"/>
      </w:pPr>
      <w:r>
        <w:t xml:space="preserve">| 4 | administrative record | https://www.law.cornell.edu/uscode/text/5/706 | the administrative-record proposition in the same sentence |</w:t>
      </w:r>
    </w:p>
    <w:p>
      <w:pPr>
        <w:spacing w:after="160" w:line="276" w:lineRule="auto"/>
      </w:pPr>
      <w:r>
        <w:t xml:space="preserve">| 5 | accountability principle in Article 5(2) | https://eur-lex.europa.eu/eli/reg/2016/679/oj | GDPR Article 5(2), quoted in the same sentence |</w:t>
      </w:r>
    </w:p>
    <w:p>
      <w:pPr>
        <w:spacing w:after="160" w:line="276" w:lineRule="auto"/>
      </w:pPr>
      <w:r>
        <w:t xml:space="preserve">| 6 | EU AI Act | https://eur-lex.europa.eu/eli/reg/2024/1689/oj | the AI Act, whose application timing the sentence describes |</w:t>
      </w:r>
    </w:p>
    <w:p>
      <w:pPr>
        <w:spacing w:after="160" w:line="276" w:lineRule="auto"/>
      </w:pPr>
      <w:r>
        <w:t xml:space="preserve">| 7 | Regulation (EU) 2026/1744 | https://eur-lex.europa.eu/eli/reg/2026/1744/oj | the instrument that postponed the dates given in the same sentence |</w:t>
      </w:r>
    </w:p>
    <w:p>
      <w:pPr>
        <w:spacing w:after="160" w:line="276" w:lineRule="auto"/>
      </w:pPr>
      <w:r>
        <w:t xml:space="preserve">| 8 | ISO/IEC 42001 | https://www.iso.org/standard/42001 | ISO/IEC 42001, named in the same sentence |</w:t>
      </w:r>
    </w:p>
    <w:p>
      <w:pPr>
        <w:spacing w:after="160" w:line="276" w:lineRule="auto"/>
      </w:pPr>
      <w:r>
        <w:t xml:space="preserve">| 9 | DORA | https://eur-lex.europa.eu/eli/reg/2022/2554/oj | DORA, named in the same sentence |</w:t>
      </w:r>
    </w:p>
    <w:p>
      <w:pPr>
        <w:spacing w:after="160" w:line="276" w:lineRule="auto"/>
      </w:pPr>
      <w:r>
        <w:t xml:space="preserve">### The item that was open since 2026-08-18 is now closed</w:t>
      </w:r>
    </w:p>
    <w:p>
      <w:pPr>
        <w:spacing w:after="160" w:line="276" w:lineRule="auto"/>
      </w:pPr>
      <w:r>
        <w:rPr>
          <w:b/>
        </w:rPr>
        <w:t xml:space="preserve">REGULATION (EU) 2026/1744 AND BOTH DATES VERIFY. HEKIM COLPAN'S CITATIONS WERE CORRECT.</w:t>
      </w:r>
      <w:r>
        <w:t xml:space="preserve"> They were carried on his authority through three prior passes and flagged each time as unverifiable from this environment. They were checked on 2026-08-19 against independent secondary sources reporting the enacted instrument:</w:t>
      </w:r>
    </w:p>
    <w:p>
      <w:pPr>
        <w:spacing w:after="160" w:line="276" w:lineRule="auto"/>
      </w:pPr>
      <w:r>
        <w:t xml:space="preserve">- </w:t>
      </w:r>
      <w:r>
        <w:rPr>
          <w:b/>
        </w:rPr>
        <w:t xml:space="preserve">Regulation (EU) 2026/1744</w:t>
      </w:r>
      <w:r>
        <w:t xml:space="preserve">, the Digital Omnibus on AI. Published in the Official Journal 24 July 2026, in force 27 July 2026.</w:t>
      </w:r>
    </w:p>
    <w:p>
      <w:pPr>
        <w:spacing w:after="160" w:line="276" w:lineRule="auto"/>
      </w:pPr>
      <w:r>
        <w:t xml:space="preserve">- </w:t>
      </w:r>
      <w:r>
        <w:rPr>
          <w:b/>
        </w:rPr>
        <w:t xml:space="preserve">Annex III stand-alone high-risk systems: 2 December 2027</w:t>
      </w:r>
      <w:r>
        <w:t xml:space="preserve">, moved from 2 August 2026. Matches the article.</w:t>
      </w:r>
    </w:p>
    <w:p>
      <w:pPr>
        <w:spacing w:after="160" w:line="276" w:lineRule="auto"/>
      </w:pPr>
      <w:r>
        <w:t xml:space="preserve">- </w:t>
      </w:r>
      <w:r>
        <w:rPr>
          <w:b/>
        </w:rPr>
        <w:t xml:space="preserve">Annex I product-embedded high-risk systems: 2 August 2028</w:t>
      </w:r>
      <w:r>
        <w:t xml:space="preserve">, moved from 2 August 2027. Matches the article.</w:t>
      </w:r>
    </w:p>
    <w:p>
      <w:pPr>
        <w:spacing w:after="160" w:line="276" w:lineRule="auto"/>
      </w:pPr>
      <w:r>
        <w:t xml:space="preserve">- EUR-Lex ELI `https://eur-lex.europa.eu/eli/reg/2026/1744/oj`, which follows the same ELI pattern as the three EUR-Lex links already in the article. </w:t>
      </w:r>
      <w:r>
        <w:rPr>
          <w:b/>
        </w:rPr>
        <w:t xml:space="preserve">It is now cited in-text</w:t>
      </w:r>
      <w:r>
        <w:t xml:space="preserve">, so the claim carries a source like every other claim in the piece.</w:t>
      </w:r>
    </w:p>
    <w:p>
      <w:pPr>
        <w:spacing w:after="160" w:line="276" w:lineRule="auto"/>
      </w:pPr>
      <w:r>
        <w:rPr>
          <w:b/>
        </w:rPr>
        <w:t xml:space="preserve">THIS IS A SECONDARY-SOURCE VERIFICATION, NOT A READING OF THE OFFICIAL JOURNAL.</w:t>
      </w:r>
      <w:r>
        <w:t xml:space="preserve"> EUR-Lex, Justia and ISO all return bot-challenge responses to this environment (202 and 403 respectively), so no primary text was retrieved for any citation in this article. The dates now rest on consistent independent reporting rather than on a single author's recollection, which is a materially stronger position than the previous three passes, but a final click-through by a human remains the right last step before submission.</w:t>
      </w:r>
    </w:p>
    <w:p>
      <w:pPr>
        <w:spacing w:after="160" w:line="276" w:lineRule="auto"/>
      </w:pPr>
      <w:r>
        <w:rPr>
          <w:b/>
        </w:rPr>
        <w:t xml:space="preserve">LINK STATUS AS SEEN FROM THIS ENVIRONMENT.</w:t>
      </w:r>
      <w:r>
        <w:t xml:space="preserve"> EEOC, DOJ and Cornell LII return 200. Justia and ISO return 403 and EUR-Lex returns 202; all are Cloudflare or anti-bot interstitials served to an automated client, not dead links. The ISO link was moved from `/standard/81230.html` to the canonical `/standard/42001`, which is the same standard: ISO's own catalogue records confirm project 81230 is ISO/IEC 42001:2023.</w:t>
      </w:r>
    </w:p>
    <w:p>
      <w:pPr>
        <w:pStyle w:val="Heading2"/>
        <w:spacing w:before="360" w:after="120"/>
      </w:pPr>
      <w:r>
        <w:t xml:space="preserve">6. What did not change</w:t>
      </w:r>
    </w:p>
    <w:p>
      <w:pPr>
        <w:spacing w:after="160" w:line="276" w:lineRule="auto"/>
      </w:pPr>
      <w:r>
        <w:t xml:space="preserve">29 legal propositions and required elements are asserted by needle and all are present. 23 banned terms are asserted absent and none appears.</w:t>
      </w:r>
    </w:p>
    <w:p>
      <w:pPr>
        <w:spacing w:after="160" w:line="276" w:lineRule="auto"/>
      </w:pPr>
      <w:r>
        <w:t xml:space="preserve">- McDonnell Douglas holding distinction</w:t>
      </w:r>
    </w:p>
    <w:p>
      <w:pPr>
        <w:spacing w:after="160" w:line="276" w:lineRule="auto"/>
      </w:pPr>
      <w:r>
        <w:t xml:space="preserve">- pretext observation kept separate from the holding</w:t>
      </w:r>
    </w:p>
    <w:p>
      <w:pPr>
        <w:spacing w:after="160" w:line="276" w:lineRule="auto"/>
      </w:pPr>
      <w:r>
        <w:t xml:space="preserve">- de-conflation of the two theories</w:t>
      </w:r>
    </w:p>
    <w:p>
      <w:pPr>
        <w:spacing w:after="160" w:line="276" w:lineRule="auto"/>
      </w:pPr>
      <w:r>
        <w:t xml:space="preserve">- GDPR 5(2) anchor</w:t>
      </w:r>
    </w:p>
    <w:p>
      <w:pPr>
        <w:spacing w:after="160" w:line="276" w:lineRule="auto"/>
      </w:pPr>
      <w:r>
        <w:t xml:space="preserve">- Article 30 bounded</w:t>
      </w:r>
    </w:p>
    <w:p>
      <w:pPr>
        <w:spacing w:after="160" w:line="276" w:lineRule="auto"/>
      </w:pPr>
      <w:r>
        <w:t xml:space="preserve">- AI Act scope qualifier</w:t>
      </w:r>
    </w:p>
    <w:p>
      <w:pPr>
        <w:spacing w:after="160" w:line="276" w:lineRule="auto"/>
      </w:pPr>
      <w:r>
        <w:t xml:space="preserve">- ISO 42001 softened to 'can support'</w:t>
      </w:r>
    </w:p>
    <w:p>
      <w:pPr>
        <w:spacing w:after="160" w:line="276" w:lineRule="auto"/>
      </w:pPr>
      <w:r>
        <w:t xml:space="preserve">- DORA qualified</w:t>
      </w:r>
    </w:p>
    <w:p>
      <w:pPr>
        <w:spacing w:after="160" w:line="276" w:lineRule="auto"/>
      </w:pPr>
      <w:r>
        <w:t xml:space="preserve">- neither instrument mandates a record-level control</w:t>
      </w:r>
    </w:p>
    <w:p>
      <w:pPr>
        <w:spacing w:after="160" w:line="276" w:lineRule="auto"/>
      </w:pPr>
      <w:r>
        <w:t xml:space="preserve">- discoverability is not retention</w:t>
      </w:r>
    </w:p>
    <w:p>
      <w:pPr>
        <w:spacing w:after="160" w:line="276" w:lineRule="auto"/>
      </w:pPr>
      <w:r>
        <w:t xml:space="preserve">- right-to-know-why disclaimer</w:t>
      </w:r>
    </w:p>
    <w:p>
      <w:pPr>
        <w:spacing w:after="160" w:line="276" w:lineRule="auto"/>
      </w:pPr>
      <w:r>
        <w:t xml:space="preserve">- no US equivalent to the GDPR obligation</w:t>
      </w:r>
    </w:p>
    <w:p>
      <w:pPr>
        <w:spacing w:after="160" w:line="276" w:lineRule="auto"/>
      </w:pPr>
      <w:r>
        <w:t xml:space="preserve">- administrative record qualified, not absolute</w:t>
      </w:r>
    </w:p>
    <w:p>
      <w:pPr>
        <w:spacing w:after="160" w:line="276" w:lineRule="auto"/>
      </w:pPr>
      <w:r>
        <w:t xml:space="preserve">- postponement instrument, now cited in-text per CCI's citation rule</w:t>
      </w:r>
    </w:p>
    <w:p>
      <w:pPr>
        <w:spacing w:after="160" w:line="276" w:lineRule="auto"/>
      </w:pPr>
      <w:r>
        <w:t xml:space="preserve">- Annex III date</w:t>
      </w:r>
    </w:p>
    <w:p>
      <w:pPr>
        <w:spacing w:after="160" w:line="276" w:lineRule="auto"/>
      </w:pPr>
      <w:r>
        <w:t xml:space="preserve">- Annex I date</w:t>
      </w:r>
    </w:p>
    <w:p>
      <w:pPr>
        <w:spacing w:after="160" w:line="276" w:lineRule="auto"/>
      </w:pPr>
      <w:r>
        <w:t xml:space="preserve">- JRS neutrality line</w:t>
      </w:r>
    </w:p>
    <w:p>
      <w:pPr>
        <w:spacing w:after="160" w:line="276" w:lineRule="auto"/>
      </w:pPr>
      <w:r>
        <w:t xml:space="preserve">- JRS interest disclosed in body</w:t>
      </w:r>
    </w:p>
    <w:p>
      <w:pPr>
        <w:spacing w:after="160" w:line="276" w:lineRule="auto"/>
      </w:pPr>
      <w:r>
        <w:t xml:space="preserve">- JRS interest disclosed in the standfirst</w:t>
      </w:r>
    </w:p>
    <w:p>
      <w:pPr>
        <w:spacing w:after="160" w:line="276" w:lineRule="auto"/>
      </w:pPr>
      <w:r>
        <w:t xml:space="preserve">- neutral validation sentence, no statistics</w:t>
      </w:r>
    </w:p>
    <w:p>
      <w:pPr>
        <w:spacing w:after="160" w:line="276" w:lineRule="auto"/>
      </w:pPr>
      <w:r>
        <w:t xml:space="preserve">- the contemporaneous-evidence rule, carried over from Section III</w:t>
      </w:r>
    </w:p>
    <w:p>
      <w:pPr>
        <w:spacing w:after="160" w:line="276" w:lineRule="auto"/>
      </w:pPr>
      <w:r>
        <w:t xml:space="preserve">- institutional trust paragraph, carried over from Section VII</w:t>
      </w:r>
    </w:p>
    <w:p>
      <w:pPr>
        <w:spacing w:after="160" w:line="276" w:lineRule="auto"/>
      </w:pPr>
      <w:r>
        <w:t xml:space="preserve">- GDPR accountability stated as a demonstration duty, not a decision-explanation duty. Hekim Colpan's correction, 2026-08-19</w:t>
      </w:r>
    </w:p>
    <w:p>
      <w:pPr>
        <w:spacing w:after="160" w:line="276" w:lineRule="auto"/>
      </w:pPr>
      <w:r>
        <w:t xml:space="preserve">- AI Act documentation obligations kept distinct from GDPR accountability and bounded to the regimes that apply. Hekim Colpan's correction, 2026-08-19</w:t>
      </w:r>
    </w:p>
    <w:p>
      <w:pPr>
        <w:spacing w:after="160" w:line="276" w:lineRule="auto"/>
      </w:pPr>
      <w:r>
        <w:t xml:space="preserve">- control 3. AI-generated material is not excluded from the record; the conclusion must not rest on it alone. Hekim Colpan's correction, 2026-08-19</w:t>
      </w:r>
    </w:p>
    <w:p>
      <w:pPr>
        <w:spacing w:after="160" w:line="276" w:lineRule="auto"/>
      </w:pPr>
      <w:r>
        <w:t xml:space="preserve">- control 1</w:t>
      </w:r>
    </w:p>
    <w:p>
      <w:pPr>
        <w:spacing w:after="160" w:line="276" w:lineRule="auto"/>
      </w:pPr>
      <w:r>
        <w:t xml:space="preserve">- control 9</w:t>
      </w:r>
    </w:p>
    <w:p>
      <w:pPr>
        <w:spacing w:after="160" w:line="276" w:lineRule="auto"/>
      </w:pPr>
      <w:r>
        <w:t xml:space="preserve">- Colpan bio</w:t>
      </w:r>
    </w:p>
    <w:p>
      <w:pPr>
        <w:spacing w:after="160" w:line="276" w:lineRule="auto"/>
      </w:pPr>
      <w:r>
        <w:t xml:space="preserve">- Wikes bio</w:t>
      </w:r>
    </w:p>
    <w:sectPr>
      <w:pgSz w:w="12240" w:h="15840"/>
      <w:pgMar w:top="1440" w:right="1440" w:bottom="1440" w:left="1440"/>
    </w:sectPr>
  </w:body>
</w:document>
</file>

<file path=word/styles.xml><?xml version="1.0" encoding="utf-8"?>
<w:styles xmlns:w="http://schemas.openxmlformats.org/wordprocessingml/2006/main">
  <w:docDefaults>
    <w:rPrDefault>
      <w:rPr>
        <w:rFonts w:ascii="Georgia" w:hAnsi="Georgia"/>
        <w:sz w:val="22"/>
      </w:rPr>
    </w:rPrDefault>
  </w:docDefaults>
  <w:style w:type="paragraph" w:styleId="Heading1">
    <w:name w:val="heading 1"/>
    <w:rPr>
      <w:rFonts w:ascii="Georgia" w:hAnsi="Georgia"/>
      <w:b/>
      <w:sz w:val="34"/>
    </w:rPr>
  </w:style>
  <w:style w:type="paragraph" w:styleId="Heading2">
    <w:name w:val="heading 2"/>
    <w:rPr>
      <w:rFonts w:ascii="Georgia" w:hAnsi="Georgia"/>
      <w:b/>
      <w:sz w:val="26"/>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