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Response to the CTO-lens licensing audit</w:t>
      </w:r>
    </w:p>
    <w:p>
      <w:pPr>
        <w:spacing w:after="160" w:line="276" w:lineRule="auto"/>
      </w:pPr>
      <w:r>
        <w:rPr>
          <w:b/>
        </w:rPr>
        <w:t xml:space="preserve">Checked against the running system on 22 August 2026, not against the pitch.</w:t>
      </w:r>
    </w:p>
    <w:p>
      <w:pPr>
        <w:spacing w:after="160" w:line="276" w:lineRule="auto"/>
      </w:pPr>
      <w:r>
        <w:t xml:space="preserve">The audit is right about the shape of the opportunity and right that the assets need</w:t>
      </w:r>
    </w:p>
    <w:p>
      <w:pPr>
        <w:spacing w:after="160" w:line="276" w:lineRule="auto"/>
      </w:pPr>
      <w:r>
        <w:t xml:space="preserve">systems-integration language. **Four of its recommendations are implementable today and one</w:t>
      </w:r>
    </w:p>
    <w:p>
      <w:pPr>
        <w:spacing w:after="160" w:line="276" w:lineRule="auto"/>
      </w:pPr>
      <w:r>
        <w:t xml:space="preserve">is already truer than it claims.** Three would put a false statement in front of a buyer</w:t>
      </w:r>
    </w:p>
    <w:p>
      <w:pPr>
        <w:spacing w:after="160" w:line="276" w:lineRule="auto"/>
      </w:pPr>
      <w:r>
        <w:t xml:space="preserve">whose security and legal teams will verify it, and one number in it is not supported by the</w:t>
      </w:r>
    </w:p>
    <w:p>
      <w:pPr>
        <w:spacing w:after="160" w:line="276" w:lineRule="auto"/>
      </w:pPr>
      <w:r>
        <w:t xml:space="preserve">pipeline.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Part 1: Implement these. They are true and they are strong.</w:t>
      </w:r>
    </w:p>
    <w:p>
      <w:pPr>
        <w:spacing w:after="160" w:line="276" w:lineRule="auto"/>
      </w:pPr>
      <w:r>
        <w:t xml:space="preserve">### 1.1 The determinism claim is real, and stronger than the audit knew</w:t>
      </w:r>
    </w:p>
    <w:p>
      <w:pPr>
        <w:spacing w:after="160" w:line="276" w:lineRule="auto"/>
      </w:pPr>
      <w:r>
        <w:t xml:space="preserve">The audit proposes framing JRS as "a deterministic rule-engine." **That is not a</w:t>
      </w:r>
    </w:p>
    <w:p>
      <w:pPr>
        <w:spacing w:after="160" w:line="276" w:lineRule="auto"/>
      </w:pPr>
      <w:r>
        <w:t xml:space="preserve">repositioning, it is a verified property of the instrument.** The determination is a</w:t>
      </w:r>
    </w:p>
    <w:p>
      <w:pPr>
        <w:spacing w:after="160" w:line="276" w:lineRule="auto"/>
      </w:pPr>
      <w:r>
        <w:t xml:space="preserve">deterministic function of the five conditions: across the labelled corpus, no label with all</w:t>
      </w:r>
    </w:p>
    <w:p>
      <w:pPr>
        <w:spacing w:after="160" w:line="276" w:lineRule="auto"/>
      </w:pPr>
      <w:r>
        <w:t xml:space="preserve">five conditions passed carries a determination other than Ready, and no label with any</w:t>
      </w:r>
    </w:p>
    <w:p>
      <w:pPr>
        <w:spacing w:after="160" w:line="276" w:lineRule="auto"/>
      </w:pPr>
      <w:r>
        <w:t xml:space="preserve">condition unmet carries Ready. Zero exceptions.</w:t>
      </w:r>
    </w:p>
    <w:p>
      <w:pPr>
        <w:spacing w:after="160" w:line="276" w:lineRule="auto"/>
      </w:pPr>
      <w:r>
        <w:t xml:space="preserve">For a platform engineer this is the whole conversation. A deterministic mapping can be unit</w:t>
      </w:r>
    </w:p>
    <w:p>
      <w:pPr>
        <w:spacing w:after="160" w:line="276" w:lineRule="auto"/>
      </w:pPr>
      <w:r>
        <w:t xml:space="preserve">tested, versioned, diffed and reasoned about. </w:t>
      </w:r>
      <w:r>
        <w:rPr>
          <w:b/>
        </w:rPr>
        <w:t xml:space="preserve">Lead with it.</w:t>
      </w:r>
    </w:p>
    <w:p>
      <w:pPr>
        <w:spacing w:after="160" w:line="276" w:lineRule="auto"/>
      </w:pPr>
      <w:r>
        <w:t xml:space="preserve">### 1.2 Publish the input/output contract</w:t>
      </w:r>
    </w:p>
    <w:p>
      <w:pPr>
        <w:spacing w:after="160" w:line="276" w:lineRule="auto"/>
      </w:pPr>
      <w:r>
        <w:t xml:space="preserve">Implemented as `research/JRS_Integration_Schema_2026-08-22.md`, attached. It states the</w:t>
      </w:r>
    </w:p>
    <w:p>
      <w:pPr>
        <w:spacing w:after="160" w:line="276" w:lineRule="auto"/>
      </w:pPr>
      <w:r>
        <w:t xml:space="preserve">input envelope, the five condition outputs, the determination rule, the error contract and</w:t>
      </w:r>
    </w:p>
    <w:p>
      <w:pPr>
        <w:spacing w:after="160" w:line="276" w:lineRule="auto"/>
      </w:pPr>
      <w:r>
        <w:t xml:space="preserve">the versioning commitment. A platform engineer can read it in ten minutes and estimate the</w:t>
      </w:r>
    </w:p>
    <w:p>
      <w:pPr>
        <w:spacing w:after="160" w:line="276" w:lineRule="auto"/>
      </w:pPr>
      <w:r>
        <w:t xml:space="preserve">work.</w:t>
      </w:r>
    </w:p>
    <w:p>
      <w:pPr>
        <w:spacing w:after="160" w:line="276" w:lineRule="auto"/>
      </w:pPr>
      <w:r>
        <w:t xml:space="preserve">### 1.3 The null result, framed correctly</w:t>
      </w:r>
    </w:p>
    <w:p>
      <w:pPr>
        <w:spacing w:after="160" w:line="276" w:lineRule="auto"/>
      </w:pPr>
      <w:r>
        <w:t xml:space="preserve">The audit is right that this builds engineering trust, and slightly wrong on the facts.</w:t>
      </w:r>
    </w:p>
    <w:p>
      <w:pPr>
        <w:spacing w:after="160" w:line="276" w:lineRule="auto"/>
      </w:pPr>
      <w:r>
        <w:rPr>
          <w:b/>
        </w:rPr>
        <w:t xml:space="preserve">The correct claim:</w:t>
      </w:r>
      <w:r>
        <w:t xml:space="preserve"> in a companion corpus of 32 public-records determinations the method</w:t>
      </w:r>
    </w:p>
    <w:p>
      <w:pPr>
        <w:spacing w:after="160" w:line="276" w:lineRule="auto"/>
      </w:pPr>
      <w:r>
        <w:t xml:space="preserve">showed no association with outcome, that null is reported in the manuscript alongside the</w:t>
      </w:r>
    </w:p>
    <w:p>
      <w:pPr>
        <w:spacing w:after="160" w:line="276" w:lineRule="auto"/>
      </w:pPr>
      <w:r>
        <w:t xml:space="preserve">explanation, and a homogeneity test shows the two corpora do not significantly differ.</w:t>
      </w:r>
    </w:p>
    <w:p>
      <w:pPr>
        <w:spacing w:after="160" w:line="276" w:lineRule="auto"/>
      </w:pPr>
      <w:r>
        <w:rPr>
          <w:b/>
        </w:rPr>
        <w:t xml:space="preserve">Do not say "published."</w:t>
      </w:r>
      <w:r>
        <w:t xml:space="preserve"> It is in a submission-ready manuscript. Say "reported and</w:t>
      </w:r>
    </w:p>
    <w:p>
      <w:pPr>
        <w:spacing w:after="160" w:line="276" w:lineRule="auto"/>
      </w:pPr>
      <w:r>
        <w:t xml:space="preserve">carried into submission," which is both true and sufficient.</w:t>
      </w:r>
    </w:p>
    <w:p>
      <w:pPr>
        <w:spacing w:after="160" w:line="276" w:lineRule="auto"/>
      </w:pPr>
      <w:r>
        <w:t xml:space="preserve">### 1.4 Map to enterprise triggers</w:t>
      </w:r>
    </w:p>
    <w:p>
      <w:pPr>
        <w:spacing w:after="160" w:line="276" w:lineRule="auto"/>
      </w:pPr>
      <w:r>
        <w:t xml:space="preserve">Correct and worth doing. The natural insertion point is a pre-finalisation gate, before a</w:t>
      </w:r>
    </w:p>
    <w:p>
      <w:pPr>
        <w:spacing w:after="160" w:line="276" w:lineRule="auto"/>
      </w:pPr>
      <w:r>
        <w:t xml:space="preserve">record is written to a system of record. The article already places it at first and second</w:t>
      </w:r>
    </w:p>
    <w:p>
      <w:pPr>
        <w:spacing w:after="160" w:line="276" w:lineRule="auto"/>
      </w:pPr>
      <w:r>
        <w:t xml:space="preserve">line of defence and explicitly not third, on the reasoning that once internal audit sees the</w:t>
      </w:r>
    </w:p>
    <w:p>
      <w:pPr>
        <w:spacing w:after="160" w:line="276" w:lineRule="auto"/>
      </w:pPr>
      <w:r>
        <w:t xml:space="preserve">population the remediation window has closed. **That framing came from a Chief Audit</w:t>
      </w:r>
    </w:p>
    <w:p>
      <w:pPr>
        <w:spacing w:after="160" w:line="276" w:lineRule="auto"/>
      </w:pPr>
      <w:r>
        <w:t xml:space="preserve">Executive and should be reused verbatim in buyer material.**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Part 2: Do not say these. They are false as written.</w:t>
      </w:r>
    </w:p>
    <w:p>
      <w:pPr>
        <w:spacing w:after="160" w:line="276" w:lineRule="auto"/>
      </w:pPr>
      <w:r>
        <w:t xml:space="preserve">### 2.1 "Stateless Execution: no sensitive enterprise data is ever stored, logged, or retained"</w:t>
      </w:r>
    </w:p>
    <w:p>
      <w:pPr>
        <w:spacing w:after="160" w:line="276" w:lineRule="auto"/>
      </w:pPr>
      <w:r>
        <w:rPr>
          <w:b/>
        </w:rPr>
        <w:t xml:space="preserve">This is the single most dangerous line in the audit.</w:t>
      </w:r>
      <w:r>
        <w:t xml:space="preserve"> A buyer's security team will diff it</w:t>
      </w:r>
    </w:p>
    <w:p>
      <w:pPr>
        <w:spacing w:after="160" w:line="276" w:lineRule="auto"/>
      </w:pPr>
      <w:r>
        <w:t xml:space="preserve">against the code and find `api/review-engine.js:176`, which POSTs a row to `engine_reviews`</w:t>
      </w:r>
    </w:p>
    <w:p>
      <w:pPr>
        <w:spacing w:after="160" w:line="276" w:lineRule="auto"/>
      </w:pPr>
      <w:r>
        <w:t xml:space="preserve">on every review.</w:t>
      </w:r>
    </w:p>
    <w:p>
      <w:pPr>
        <w:spacing w:after="160" w:line="276" w:lineRule="auto"/>
      </w:pPr>
      <w:r>
        <w:rPr>
          <w:b/>
        </w:rPr>
        <w:t xml:space="preserve">What is actually true, and it is better:</w:t>
      </w:r>
      <w:r>
        <w:t xml:space="preserve"> no customer record text is stored. The row holds</w:t>
      </w:r>
    </w:p>
    <w:p>
      <w:pPr>
        <w:spacing w:after="160" w:line="276" w:lineRule="auto"/>
      </w:pPr>
      <w:r>
        <w:t xml:space="preserve">the determination, the five condition results, the finding, a request id and a consistency</w:t>
      </w:r>
    </w:p>
    <w:p>
      <w:pPr>
        <w:spacing w:after="160" w:line="276" w:lineRule="auto"/>
      </w:pPr>
      <w:r>
        <w:t xml:space="preserve">figure. </w:t>
      </w:r>
      <w:r>
        <w:rPr>
          <w:b/>
        </w:rPr>
        <w:t xml:space="preserve">Nothing of the submitted record.</w:t>
      </w:r>
    </w:p>
    <w:p>
      <w:pPr>
        <w:spacing w:after="160" w:line="276" w:lineRule="auto"/>
      </w:pPr>
      <w:r>
        <w:t xml:space="preserve">The engineering history here is the asset. That table used to carry `input_preview`, the</w:t>
      </w:r>
    </w:p>
    <w:p>
      <w:pPr>
        <w:spacing w:after="160" w:line="276" w:lineRule="auto"/>
      </w:pPr>
      <w:r>
        <w:t xml:space="preserve">first 200 characters of the submitted record, and a public page rendered it. That</w:t>
      </w:r>
    </w:p>
    <w:p>
      <w:pPr>
        <w:spacing w:after="160" w:line="276" w:lineRule="auto"/>
      </w:pPr>
      <w:r>
        <w:t xml:space="preserve">contradicted the Data Isolation Guarantee already published on the intake pages</w:t>
      </w:r>
    </w:p>
    <w:p>
      <w:pPr>
        <w:spacing w:after="160" w:line="276" w:lineRule="auto"/>
      </w:pPr>
      <w:r>
        <w:t xml:space="preserve">(`audit-request.html:129`, `calibration-request.html:129`, `engagement.html:153`). **It was</w:t>
      </w:r>
    </w:p>
    <w:p>
      <w:pPr>
        <w:spacing w:after="160" w:line="276" w:lineRule="auto"/>
      </w:pPr>
      <w:r>
        <w:t xml:space="preserve">found and removed on 2026-08-14 while the table still held zero rows, so no customer text</w:t>
      </w:r>
    </w:p>
    <w:p>
      <w:pPr>
        <w:spacing w:after="160" w:line="276" w:lineRule="auto"/>
      </w:pPr>
      <w:r>
        <w:t xml:space="preserve">was ever exposed.**</w:t>
      </w:r>
    </w:p>
    <w:p>
      <w:pPr>
        <w:spacing w:after="160" w:line="276" w:lineRule="auto"/>
      </w:pPr>
      <w:r>
        <w:rPr>
          <w:b/>
        </w:rPr>
        <w:t xml:space="preserve">Say this instead:</w:t>
      </w:r>
      <w:r>
        <w:t xml:space="preserve"> "Record text is processed in ephemeral memory and never persisted. The</w:t>
      </w:r>
    </w:p>
    <w:p>
      <w:pPr>
        <w:spacing w:after="160" w:line="276" w:lineRule="auto"/>
      </w:pPr>
      <w:r>
        <w:t xml:space="preserve">engine retains only the structured determination and a request identifier. This was verified</w:t>
      </w:r>
    </w:p>
    <w:p>
      <w:pPr>
        <w:spacing w:after="160" w:line="276" w:lineRule="auto"/>
      </w:pPr>
      <w:r>
        <w:t xml:space="preserve">by removing an input-preview field before the first production record was ever submitted."</w:t>
      </w:r>
    </w:p>
    <w:p>
      <w:pPr>
        <w:spacing w:after="160" w:line="276" w:lineRule="auto"/>
      </w:pPr>
      <w:r>
        <w:t xml:space="preserve">That survives a security review. The audit's version does not.</w:t>
      </w:r>
    </w:p>
    <w:p>
      <w:pPr>
        <w:spacing w:after="160" w:line="276" w:lineRule="auto"/>
      </w:pPr>
      <w:r>
        <w:t xml:space="preserve">### 2.2 "Peer-reviewed backing"</w:t>
      </w:r>
    </w:p>
    <w:p>
      <w:pPr>
        <w:spacing w:after="160" w:line="276" w:lineRule="auto"/>
      </w:pPr>
      <w:r>
        <w:rPr>
          <w:b/>
        </w:rPr>
        <w:t xml:space="preserve">Nothing is peer-reviewed yet.</w:t>
      </w:r>
      <w:r>
        <w:t xml:space="preserve"> </w:t>
      </w:r>
      <w:r>
        <w:rPr>
          <w:i/>
        </w:rPr>
        <w:t xml:space="preserve">CEP Magazine</w:t>
      </w:r>
      <w:r>
        <w:t xml:space="preserve"> is a practitioner publication of the Society</w:t>
      </w:r>
    </w:p>
    <w:p>
      <w:pPr>
        <w:spacing w:after="160" w:line="276" w:lineRule="auto"/>
      </w:pPr>
      <w:r>
        <w:t xml:space="preserve">of Corporate Compliance and Ethics; the article is **accepted for the November issue and in</w:t>
      </w:r>
    </w:p>
    <w:p>
      <w:pPr>
        <w:spacing w:after="160" w:line="276" w:lineRule="auto"/>
      </w:pPr>
      <w:r>
        <w:t xml:space="preserve">copy-editing**, which is a real credential and should be stated as exactly that. Four further</w:t>
      </w:r>
    </w:p>
    <w:p>
      <w:pPr>
        <w:spacing w:after="160" w:line="276" w:lineRule="auto"/>
      </w:pPr>
      <w:r>
        <w:t xml:space="preserve">manuscripts are submission-ready and none has been through peer review.</w:t>
      </w:r>
    </w:p>
    <w:p>
      <w:pPr>
        <w:spacing w:after="160" w:line="276" w:lineRule="auto"/>
      </w:pPr>
      <w:r>
        <w:t xml:space="preserve">A CTO who checks and finds no peer-reviewed publication behind a "peer-reviewed" claim will</w:t>
      </w:r>
    </w:p>
    <w:p>
      <w:pPr>
        <w:spacing w:after="160" w:line="276" w:lineRule="auto"/>
      </w:pPr>
      <w:r>
        <w:t xml:space="preserve">discount everything else in the deck, including the parts that are true.</w:t>
      </w:r>
    </w:p>
    <w:p>
      <w:pPr>
        <w:spacing w:after="160" w:line="276" w:lineRule="auto"/>
      </w:pPr>
      <w:r>
        <w:t xml:space="preserve">### 2.3 "The KPMG DNA" / "built with KPMG enterprise rigor"</w:t>
      </w:r>
    </w:p>
    <w:p>
      <w:pPr>
        <w:spacing w:after="160" w:line="276" w:lineRule="auto"/>
      </w:pPr>
      <w:r>
        <w:rPr>
          <w:b/>
        </w:rPr>
        <w:t xml:space="preserve">Remove this entirely. It is the highest-risk item in the document.</w:t>
      </w:r>
    </w:p>
    <w:p>
      <w:pPr>
        <w:spacing w:after="160" w:line="276" w:lineRule="auto"/>
      </w:pPr>
      <w:r>
        <w:t xml:space="preserve">Ubayet Hossain designed the validation methodology and is an Associate Director at KPMG</w:t>
      </w:r>
    </w:p>
    <w:p>
      <w:pPr>
        <w:spacing w:after="160" w:line="276" w:lineRule="auto"/>
      </w:pPr>
      <w:r>
        <w:t xml:space="preserve">India. </w:t>
      </w:r>
      <w:r>
        <w:rPr>
          <w:b/>
        </w:rPr>
        <w:t xml:space="preserve">He contributed in a personal professional capacity</w:t>
      </w:r>
      <w:r>
        <w:t xml:space="preserve">, which is stated in the</w:t>
      </w:r>
    </w:p>
    <w:p>
      <w:pPr>
        <w:spacing w:after="160" w:line="276" w:lineRule="auto"/>
      </w:pPr>
      <w:r>
        <w:t xml:space="preserve">manuscripts in those words. There is no KPMG institutional involvement, endorsement, review</w:t>
      </w:r>
    </w:p>
    <w:p>
      <w:pPr>
        <w:spacing w:after="160" w:line="276" w:lineRule="auto"/>
      </w:pPr>
      <w:r>
        <w:t xml:space="preserve">or relationship.</w:t>
      </w:r>
    </w:p>
    <w:p>
      <w:pPr>
        <w:spacing w:after="160" w:line="276" w:lineRule="auto"/>
      </w:pPr>
      <w:r>
        <w:t xml:space="preserve">Implying otherwise: misrepresents the programme to a buyer, exposes Hossain professionally</w:t>
      </w:r>
    </w:p>
    <w:p>
      <w:pPr>
        <w:spacing w:after="160" w:line="276" w:lineRule="auto"/>
      </w:pPr>
      <w:r>
        <w:t xml:space="preserve">with his employer, and invites a firm with substantial legal resources to object to the use</w:t>
      </w:r>
    </w:p>
    <w:p>
      <w:pPr>
        <w:spacing w:after="160" w:line="276" w:lineRule="auto"/>
      </w:pPr>
      <w:r>
        <w:t xml:space="preserve">of its name. </w:t>
      </w:r>
      <w:r>
        <w:rPr>
          <w:b/>
        </w:rPr>
        <w:t xml:space="preserve">The individual credential is already strong.</w:t>
      </w:r>
      <w:r>
        <w:t xml:space="preserve"> "The validation methodology was</w:t>
      </w:r>
    </w:p>
    <w:p>
      <w:pPr>
        <w:spacing w:after="160" w:line="276" w:lineRule="auto"/>
      </w:pPr>
      <w:r>
        <w:t xml:space="preserve">designed by a model-validation director at a Big Four firm, contributing personally" is true,</w:t>
      </w:r>
    </w:p>
    <w:p>
      <w:pPr>
        <w:spacing w:after="160" w:line="276" w:lineRule="auto"/>
      </w:pPr>
      <w:r>
        <w:t xml:space="preserve">impressive, and safe.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Part 3: The number the audit does not engage with</w:t>
      </w:r>
    </w:p>
    <w:p>
      <w:pPr>
        <w:spacing w:after="160" w:line="276" w:lineRule="auto"/>
      </w:pPr>
      <w:r>
        <w:t xml:space="preserve">It pegs licensing at </w:t>
      </w:r>
      <w:r>
        <w:rPr>
          <w:b/>
        </w:rPr>
        <w:t xml:space="preserve">55 to 65 percent</w:t>
      </w:r>
      <w:r>
        <w:t xml:space="preserve">. Against the pipeline:</w:t>
      </w:r>
    </w:p>
    <w:p>
      <w:pPr>
        <w:spacing w:after="160" w:line="276" w:lineRule="auto"/>
      </w:pPr>
      <w:r>
        <w:t xml:space="preserve">| Fact | Source, live 22 August 2026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Organisational pilots | </w:t>
      </w:r>
      <w:r>
        <w:rPr>
          <w:b/>
        </w:rPr>
        <w:t xml:space="preserve">0</w:t>
      </w:r>
      <w:r>
        <w:t xml:space="preserve"> |</w:t>
      </w:r>
    </w:p>
    <w:p>
      <w:pPr>
        <w:spacing w:after="160" w:line="276" w:lineRule="auto"/>
      </w:pPr>
      <w:r>
        <w:t xml:space="preserve">| Sessions | </w:t>
      </w:r>
      <w:r>
        <w:rPr>
          <w:b/>
        </w:rPr>
        <w:t xml:space="preserve">0</w:t>
      </w:r>
      <w:r>
        <w:t xml:space="preserve"> |</w:t>
      </w:r>
    </w:p>
    <w:p>
      <w:pPr>
        <w:spacing w:after="160" w:line="276" w:lineRule="auto"/>
      </w:pPr>
      <w:r>
        <w:t xml:space="preserve">| Records run by an organisation | </w:t>
      </w:r>
      <w:r>
        <w:rPr>
          <w:b/>
        </w:rPr>
        <w:t xml:space="preserve">0</w:t>
      </w:r>
      <w:r>
        <w:t xml:space="preserve"> |</w:t>
      </w:r>
    </w:p>
    <w:p>
      <w:pPr>
        <w:spacing w:after="160" w:line="276" w:lineRule="auto"/>
      </w:pPr>
      <w:r>
        <w:t xml:space="preserve">| Trademarks filed | </w:t>
      </w:r>
      <w:r>
        <w:rPr>
          <w:b/>
        </w:rPr>
        <w:t xml:space="preserve">None</w:t>
      </w:r>
      <w:r>
        <w:t xml:space="preserve"> (`IP_SALE_TRACKER.md:79`) |</w:t>
      </w:r>
    </w:p>
    <w:p>
      <w:pPr>
        <w:spacing w:after="160" w:line="276" w:lineRule="auto"/>
      </w:pPr>
      <w:r>
        <w:t xml:space="preserve">| Paying pilot | </w:t>
      </w:r>
      <w:r>
        <w:rPr>
          <w:b/>
        </w:rPr>
        <w:t xml:space="preserve">None</w:t>
      </w:r>
      <w:r>
        <w:t xml:space="preserve"> |</w:t>
      </w:r>
    </w:p>
    <w:p>
      <w:pPr>
        <w:spacing w:after="160" w:line="276" w:lineRule="auto"/>
      </w:pPr>
      <w:r>
        <w:t xml:space="preserve">Platform vendors license standards their customers are already asking for. With zero</w:t>
      </w:r>
    </w:p>
    <w:p>
      <w:pPr>
        <w:spacing w:after="160" w:line="276" w:lineRule="auto"/>
      </w:pPr>
      <w:r>
        <w:t xml:space="preserve">enterprise deployments there is no pull, and a buyout of unregistered marks is a diligence</w:t>
      </w:r>
    </w:p>
    <w:p>
      <w:pPr>
        <w:spacing w:after="160" w:line="276" w:lineRule="auto"/>
      </w:pPr>
      <w:r>
        <w:t xml:space="preserve">finding rather than a transaction.</w:t>
      </w:r>
    </w:p>
    <w:p>
      <w:pPr>
        <w:spacing w:after="160" w:line="276" w:lineRule="auto"/>
      </w:pPr>
      <w:r>
        <w:rPr>
          <w:b/>
        </w:rPr>
        <w:t xml:space="preserve">My estimate stays at 15 to 25 percent until there are three to five named deployments</w:t>
      </w:r>
      <w:r>
        <w:t xml:space="preserve">,</w:t>
      </w:r>
    </w:p>
    <w:p>
      <w:pPr>
        <w:spacing w:after="160" w:line="276" w:lineRule="auto"/>
      </w:pPr>
      <w:r>
        <w:t xml:space="preserve">and the audit's own recommendations are the right way to get them: the integration schema</w:t>
      </w:r>
    </w:p>
    <w:p>
      <w:pPr>
        <w:spacing w:after="160" w:line="276" w:lineRule="auto"/>
      </w:pPr>
      <w:r>
        <w:t xml:space="preserve">makes a pilot cheap to start, and pilots are what make licensing real. **The audit is a good</w:t>
      </w:r>
    </w:p>
    <w:p>
      <w:pPr>
        <w:spacing w:after="160" w:line="276" w:lineRule="auto"/>
      </w:pPr>
      <w:r>
        <w:t xml:space="preserve">plan mis-labelled as a probability.**</w:t>
      </w:r>
    </w:p>
    <w:p>
      <w:pPr>
        <w:spacing w:after="160" w:line="276" w:lineRule="auto"/>
      </w:pPr>
      <w:r>
        <w:rPr>
          <w:b/>
        </w:rPr>
        <w:t xml:space="preserve">One correction of fact:</w:t>
      </w:r>
      <w:r>
        <w:t xml:space="preserve"> the audit cites "real-time telemetry" and "61 nightly runs." The</w:t>
      </w:r>
    </w:p>
    <w:p>
      <w:pPr>
        <w:spacing w:after="160" w:line="276" w:lineRule="auto"/>
      </w:pPr>
      <w:r>
        <w:t xml:space="preserve">nightly cross-vendor run was </w:t>
      </w:r>
      <w:r>
        <w:rPr>
          <w:b/>
        </w:rPr>
        <w:t xml:space="preserve">suspended on 21 August</w:t>
      </w:r>
      <w:r>
        <w:t xml:space="preserve"> when the studies were closed on your</w:t>
      </w:r>
    </w:p>
    <w:p>
      <w:pPr>
        <w:spacing w:after="160" w:line="276" w:lineRule="auto"/>
      </w:pPr>
      <w:r>
        <w:t xml:space="preserve">instruction. `/api/run-study` now returns `skipped: studies_closed`. The 61 runs and the</w:t>
      </w:r>
    </w:p>
    <w:p>
      <w:pPr>
        <w:spacing w:after="160" w:line="276" w:lineRule="auto"/>
      </w:pPr>
      <w:r>
        <w:t xml:space="preserve">84.9 percent mean remain accurate as a completed series; they are no longer live. If a buyer</w:t>
      </w:r>
    </w:p>
    <w:p>
      <w:pPr>
        <w:spacing w:after="160" w:line="276" w:lineRule="auto"/>
      </w:pPr>
      <w:r>
        <w:t xml:space="preserve">opens the dashboard expecting live telemetry, say so first.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Part 4: Sequence</w:t>
      </w:r>
    </w:p>
    <w:p>
      <w:pPr>
        <w:ind w:left="360" w:hanging="360"/>
        <w:spacing w:after="60"/>
      </w:pPr>
      <w:r>
        <w:t xml:space="preserve">1. Publish the integration schema. Attached, ready.</w:t>
      </w:r>
    </w:p>
    <w:p>
      <w:pPr>
        <w:ind w:left="360" w:hanging="360"/>
        <w:spacing w:after="60"/>
      </w:pPr>
      <w:r>
        <w:t xml:space="preserve">2. Rewrite the data-retention line to the true version. It is stronger.</w:t>
      </w:r>
    </w:p>
    <w:p>
      <w:pPr>
        <w:ind w:left="360" w:hanging="360"/>
        <w:spacing w:after="60"/>
      </w:pPr>
      <w:r>
        <w:t xml:space="preserve">3. Strip "peer-reviewed" and every KPMG institutional reference from all buyer material.</w:t>
      </w:r>
    </w:p>
    <w:p>
      <w:pPr>
        <w:ind w:left="360" w:hanging="360"/>
        <w:spacing w:after="60"/>
      </w:pPr>
      <w:r>
        <w:t xml:space="preserve">4. File the trademarks. This is a prerequisite for licensing, not an optimisation.</w:t>
      </w:r>
    </w:p>
    <w:p>
      <w:pPr>
        <w:ind w:left="360" w:hanging="360"/>
        <w:spacing w:after="60"/>
      </w:pPr>
      <w:r>
        <w:t xml:space="preserve">5. Convert two consulting engagements into named pilots. That is what moves 15 to 25 percent.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