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spacing w:after="120"/>
      </w:pPr>
      <w:r>
        <w:t xml:space="preserve">JRS Integration Schema v1.0</w:t>
      </w:r>
    </w:p>
    <w:p>
      <w:pPr>
        <w:spacing w:after="160" w:line="276" w:lineRule="auto"/>
      </w:pPr>
      <w:r>
        <w:rPr>
          <w:b/>
        </w:rPr>
        <w:t xml:space="preserve">Pre-finalisation decision gate. Input/output contract for platform integration.</w:t>
      </w:r>
    </w:p>
    <w:p>
      <w:pPr>
        <w:spacing w:after="160" w:line="276" w:lineRule="auto"/>
      </w:pPr>
      <w:r>
        <w:t xml:space="preserve">Issued 22 August 2026. Every behaviour below is the behaviour of the running implementation</w:t>
      </w:r>
    </w:p>
    <w:p>
      <w:pPr>
        <w:spacing w:after="160" w:line="276" w:lineRule="auto"/>
      </w:pPr>
      <w:r>
        <w:t xml:space="preserve">at `api/review.js` and `api/review-engine.js`, not a specification of intent.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1. Where it sits</w:t>
      </w:r>
    </w:p>
    <w:p>
      <w:pPr>
        <w:spacing w:after="160" w:line="276" w:lineRule="auto"/>
      </w:pPr>
      <w:r>
        <w:t xml:space="preserve">A pre-finalisation gate. The evaluation runs </w:t>
      </w:r>
      <w:r>
        <w:rPr>
          <w:b/>
        </w:rPr>
        <w:t xml:space="preserve">after</w:t>
      </w:r>
      <w:r>
        <w:t xml:space="preserve"> a consequential record is drafted and</w:t>
      </w:r>
    </w:p>
    <w:p>
      <w:pPr>
        <w:spacing w:after="160" w:line="276" w:lineRule="auto"/>
      </w:pPr>
      <w:r>
        <w:rPr>
          <w:b/>
        </w:rPr>
        <w:t xml:space="preserve">before</w:t>
      </w:r>
      <w:r>
        <w:t xml:space="preserve"> it is written to a system of record, sent to a regulator, or released to the</w:t>
      </w:r>
    </w:p>
    <w:p>
      <w:pPr>
        <w:spacing w:after="160" w:line="276" w:lineRule="auto"/>
      </w:pPr>
      <w:r>
        <w:t xml:space="preserve">person it describes.</w:t>
      </w:r>
    </w:p>
    <w:p>
      <w:pPr>
        <w:spacing w:after="160" w:line="276" w:lineRule="auto"/>
      </w:pPr>
      <w:r>
        <w:t xml:space="preserve">| Line of defence | Fits | Why |</w:t>
      </w:r>
    </w:p>
    <w:p>
      <w:pPr>
        <w:spacing w:after="160" w:line="276" w:lineRule="auto"/>
      </w:pPr>
      <w:r>
        <w:t xml:space="preserve">|---|---|---|</w:t>
      </w:r>
    </w:p>
    <w:p>
      <w:pPr>
        <w:spacing w:after="160" w:line="276" w:lineRule="auto"/>
      </w:pPr>
      <w:r>
        <w:t xml:space="preserve">| First | Yes | Drafter self-check before submission |</w:t>
      </w:r>
    </w:p>
    <w:p>
      <w:pPr>
        <w:spacing w:after="160" w:line="276" w:lineRule="auto"/>
      </w:pPr>
      <w:r>
        <w:t xml:space="preserve">| Second | Yes | Compliance or risk sampling before the record is final |</w:t>
      </w:r>
    </w:p>
    <w:p>
      <w:pPr>
        <w:spacing w:after="160" w:line="276" w:lineRule="auto"/>
      </w:pPr>
      <w:r>
        <w:t xml:space="preserve">| Third | No | By the time internal audit reads the population, the remediation window has closed |</w:t>
      </w:r>
    </w:p>
    <w:p>
      <w:pPr>
        <w:spacing w:after="160" w:line="276" w:lineRule="auto"/>
      </w:pPr>
      <w:r>
        <w:t xml:space="preserve">Typical host triggers: a workflow approval transition, a pre-commit hook on a case record, a</w:t>
      </w:r>
    </w:p>
    <w:p>
      <w:pPr>
        <w:spacing w:after="160" w:line="276" w:lineRule="auto"/>
      </w:pPr>
      <w:r>
        <w:t xml:space="preserve">guardrail step in an LLM drafting pipeline, or a scheduled sample over records created in a</w:t>
      </w:r>
    </w:p>
    <w:p>
      <w:pPr>
        <w:spacing w:after="160" w:line="276" w:lineRule="auto"/>
      </w:pPr>
      <w:r>
        <w:t xml:space="preserve">period.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2. Input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{</w:t>
      </w:r>
    </w:p>
    <w:p>
      <w:pPr>
        <w:spacing w:after="160" w:line="276" w:lineRule="auto"/>
      </w:pPr>
      <w:r>
        <w:t xml:space="preserve">  "record_text":  "string, required. The drafted record as it would be filed.",</w:t>
      </w:r>
    </w:p>
    <w:p>
      <w:pPr>
        <w:spacing w:after="160" w:line="276" w:lineRule="auto"/>
      </w:pPr>
      <w:r>
        <w:t xml:space="preserve">  "context":      "string, optional. Matter type, jurisdiction, decision class.",</w:t>
      </w:r>
    </w:p>
    <w:p>
      <w:pPr>
        <w:spacing w:after="160" w:line="276" w:lineRule="auto"/>
      </w:pPr>
      <w:r>
        <w:t xml:space="preserve">  "ai_assisted":  "boolean, optional. Whether a model contributed to the draft.",</w:t>
      </w:r>
    </w:p>
    <w:p>
      <w:pPr>
        <w:spacing w:after="160" w:line="276" w:lineRule="auto"/>
      </w:pPr>
      <w:r>
        <w:t xml:space="preserve">  "request_id":   "string, optional. Caller's correlation id, echoed back."</w:t>
      </w:r>
    </w:p>
    <w:p>
      <w:pPr>
        <w:spacing w:after="160" w:line="276" w:lineRule="auto"/>
      </w:pPr>
      <w:r>
        <w:t xml:space="preserve">}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rPr>
          <w:b/>
        </w:rPr>
        <w:t xml:space="preserve">Constraints in force:</w:t>
      </w:r>
      <w:r>
        <w:t xml:space="preserve"> `record_text` is capped by the endpoint's input limit and the</w:t>
      </w:r>
    </w:p>
    <w:p>
      <w:pPr>
        <w:spacing w:after="160" w:line="276" w:lineRule="auto"/>
      </w:pPr>
      <w:r>
        <w:t xml:space="preserve">endpoint is rate limited. Neither the caller's identity nor any authentication material is</w:t>
      </w:r>
    </w:p>
    <w:p>
      <w:pPr>
        <w:spacing w:after="160" w:line="276" w:lineRule="auto"/>
      </w:pPr>
      <w:r>
        <w:t xml:space="preserve">required by the evaluation itself.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3. Output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{</w:t>
      </w:r>
    </w:p>
    <w:p>
      <w:pPr>
        <w:spacing w:after="160" w:line="276" w:lineRule="auto"/>
      </w:pPr>
      <w:r>
        <w:t xml:space="preserve">  "request_id":    "string, echoed",</w:t>
      </w:r>
    </w:p>
    <w:p>
      <w:pPr>
        <w:spacing w:after="160" w:line="276" w:lineRule="auto"/>
      </w:pPr>
      <w:r>
        <w:t xml:space="preserve">  "determination": "ready | review_required | gap_identified",</w:t>
      </w:r>
    </w:p>
    <w:p>
      <w:pPr>
        <w:spacing w:after="160" w:line="276" w:lineRule="auto"/>
      </w:pPr>
      <w:r>
        <w:t xml:space="preserve">  "conditions": {</w:t>
      </w:r>
    </w:p>
    <w:p>
      <w:pPr>
        <w:spacing w:after="160" w:line="276" w:lineRule="auto"/>
      </w:pPr>
      <w:r>
        <w:t xml:space="preserve">    "reconstructability":        "pass | review | fail",</w:t>
      </w:r>
    </w:p>
    <w:p>
      <w:pPr>
        <w:spacing w:after="160" w:line="276" w:lineRule="auto"/>
      </w:pPr>
      <w:r>
        <w:t xml:space="preserve">    "basis_identification":      "pass | review | fail",</w:t>
      </w:r>
    </w:p>
    <w:p>
      <w:pPr>
        <w:spacing w:after="160" w:line="276" w:lineRule="auto"/>
      </w:pPr>
      <w:r>
        <w:t xml:space="preserve">    "chronological_integrity":   "pass | review | fail",</w:t>
      </w:r>
    </w:p>
    <w:p>
      <w:pPr>
        <w:spacing w:after="160" w:line="276" w:lineRule="auto"/>
      </w:pPr>
      <w:r>
        <w:t xml:space="preserve">    "decision_traceability":     "pass | review | fail",</w:t>
      </w:r>
    </w:p>
    <w:p>
      <w:pPr>
        <w:spacing w:after="160" w:line="276" w:lineRule="auto"/>
      </w:pPr>
      <w:r>
        <w:t xml:space="preserve">    "evidentiary_sufficiency":   "pass | review | fail"</w:t>
      </w:r>
    </w:p>
    <w:p>
      <w:pPr>
        <w:spacing w:after="160" w:line="276" w:lineRule="auto"/>
      </w:pPr>
      <w:r>
        <w:t xml:space="preserve">  },</w:t>
      </w:r>
    </w:p>
    <w:p>
      <w:pPr>
        <w:spacing w:after="160" w:line="276" w:lineRule="auto"/>
      </w:pPr>
      <w:r>
        <w:t xml:space="preserve">  "finding":  "string. Short statement of what is missing, if anything.",</w:t>
      </w:r>
    </w:p>
    <w:p>
      <w:pPr>
        <w:spacing w:after="160" w:line="276" w:lineRule="auto"/>
      </w:pPr>
      <w:r>
        <w:t xml:space="preserve">  "revisions": ["string. Specific, actionable corrections."]</w:t>
      </w:r>
    </w:p>
    <w:p>
      <w:pPr>
        <w:spacing w:after="160" w:line="276" w:lineRule="auto"/>
      </w:pPr>
      <w:r>
        <w:t xml:space="preserve">}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### 3.1 The determination rule is deterministic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t xml:space="preserve">all five conditions == pass                 -&gt;  ready</w:t>
      </w:r>
    </w:p>
    <w:p>
      <w:pPr>
        <w:spacing w:after="160" w:line="276" w:lineRule="auto"/>
      </w:pPr>
      <w:r>
        <w:t xml:space="preserve">any condition == fail                       -&gt;  gap_identified</w:t>
      </w:r>
    </w:p>
    <w:p>
      <w:pPr>
        <w:spacing w:after="160" w:line="276" w:lineRule="auto"/>
      </w:pPr>
      <w:r>
        <w:t xml:space="preserve">otherwise (at least one review, none fail)  -&gt;  review_required</w:t>
      </w:r>
    </w:p>
    <w:p>
      <w:pPr>
        <w:spacing w:after="160" w:line="276" w:lineRule="auto"/>
      </w:pPr>
      <w:r>
        <w:t xml:space="preserve">```</w:t>
      </w:r>
    </w:p>
    <w:p>
      <w:pPr>
        <w:spacing w:after="160" w:line="276" w:lineRule="auto"/>
      </w:pPr>
      <w:r>
        <w:rPr>
          <w:b/>
        </w:rPr>
        <w:t xml:space="preserve">This is a verified property, not a design intent.</w:t>
      </w:r>
      <w:r>
        <w:t xml:space="preserve"> Across the labelled validation corpus:</w:t>
      </w:r>
    </w:p>
    <w:p>
      <w:pPr>
        <w:spacing w:after="160" w:line="276" w:lineRule="auto"/>
      </w:pPr>
      <w:r>
        <w:t xml:space="preserve">zero labels with all five conditions passed carry a determination other than `ready`, and</w:t>
      </w:r>
    </w:p>
    <w:p>
      <w:pPr>
        <w:spacing w:after="160" w:line="276" w:lineRule="auto"/>
      </w:pPr>
      <w:r>
        <w:t xml:space="preserve">zero labels with any condition unmet carry `ready`.</w:t>
      </w:r>
    </w:p>
    <w:p>
      <w:pPr>
        <w:spacing w:after="160" w:line="276" w:lineRule="auto"/>
      </w:pPr>
      <w:r>
        <w:rPr>
          <w:b/>
        </w:rPr>
        <w:t xml:space="preserve">What that buys an integrating platform:</w:t>
      </w:r>
      <w:r>
        <w:t xml:space="preserve"> the mapping is unit-testable, versionable and</w:t>
      </w:r>
    </w:p>
    <w:p>
      <w:pPr>
        <w:spacing w:after="160" w:line="276" w:lineRule="auto"/>
      </w:pPr>
      <w:r>
        <w:t xml:space="preserve">diffable. A host system can assert the rule in its own test suite and detect any drift in a</w:t>
      </w:r>
    </w:p>
    <w:p>
      <w:pPr>
        <w:spacing w:after="160" w:line="276" w:lineRule="auto"/>
      </w:pPr>
      <w:r>
        <w:t xml:space="preserve">future version without depending on the vendor's word.</w:t>
      </w:r>
    </w:p>
    <w:p>
      <w:pPr>
        <w:spacing w:after="160" w:line="276" w:lineRule="auto"/>
      </w:pPr>
      <w:r>
        <w:t xml:space="preserve">### 3.2 The five conditions</w:t>
      </w:r>
    </w:p>
    <w:p>
      <w:pPr>
        <w:spacing w:after="160" w:line="276" w:lineRule="auto"/>
      </w:pPr>
      <w:r>
        <w:t xml:space="preserve">| Condition | The question it asks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Reconstructability | Can the conclusion be rebuilt from the record alone? |</w:t>
      </w:r>
    </w:p>
    <w:p>
      <w:pPr>
        <w:spacing w:after="160" w:line="276" w:lineRule="auto"/>
      </w:pPr>
      <w:r>
        <w:t xml:space="preserve">| Basis identification | Is the source of each characterisation identifiable? |</w:t>
      </w:r>
    </w:p>
    <w:p>
      <w:pPr>
        <w:spacing w:after="160" w:line="276" w:lineRule="auto"/>
      </w:pPr>
      <w:r>
        <w:t xml:space="preserve">| Chronological integrity | Do dates, sequence and sources hold together when read cold? |</w:t>
      </w:r>
    </w:p>
    <w:p>
      <w:pPr>
        <w:spacing w:after="160" w:line="276" w:lineRule="auto"/>
      </w:pPr>
      <w:r>
        <w:t xml:space="preserve">| Decision traceability | Can the reasoning be followed and the responsible parties identified? |</w:t>
      </w:r>
    </w:p>
    <w:p>
      <w:pPr>
        <w:spacing w:after="160" w:line="276" w:lineRule="auto"/>
      </w:pPr>
      <w:r>
        <w:t xml:space="preserve">| Evidentiary sufficiency | Does the record carry enough to support the weight of the decision? |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4. Data handling</w:t>
      </w:r>
    </w:p>
    <w:p>
      <w:pPr>
        <w:spacing w:after="160" w:line="276" w:lineRule="auto"/>
      </w:pPr>
      <w:r>
        <w:rPr>
          <w:b/>
        </w:rPr>
        <w:t xml:space="preserve">Record text is processed in ephemeral memory and is never persisted.</w:t>
      </w:r>
    </w:p>
    <w:p>
      <w:pPr>
        <w:spacing w:after="160" w:line="276" w:lineRule="auto"/>
      </w:pPr>
      <w:r>
        <w:t xml:space="preserve">The engine retains one row per evaluation containing the determination, the five condition</w:t>
      </w:r>
    </w:p>
    <w:p>
      <w:pPr>
        <w:spacing w:after="160" w:line="276" w:lineRule="auto"/>
      </w:pPr>
      <w:r>
        <w:t xml:space="preserve">results, the finding, a request identifier, the run count and a consistency figure.</w:t>
      </w:r>
    </w:p>
    <w:p>
      <w:pPr>
        <w:spacing w:after="160" w:line="276" w:lineRule="auto"/>
      </w:pPr>
      <w:r>
        <w:rPr>
          <w:b/>
        </w:rPr>
        <w:t xml:space="preserve">No part of the submitted record is stored, logged, or echoed to any surface.</w:t>
      </w:r>
    </w:p>
    <w:p>
      <w:pPr>
        <w:spacing w:after="160" w:line="276" w:lineRule="auto"/>
      </w:pPr>
      <w:r>
        <w:t xml:space="preserve">This is verifiable rather than asserted. The retention row previously carried</w:t>
      </w:r>
    </w:p>
    <w:p>
      <w:pPr>
        <w:spacing w:after="160" w:line="276" w:lineRule="auto"/>
      </w:pPr>
      <w:r>
        <w:t xml:space="preserve">`input_preview`, the first 200 characters of the submitted record, and a public page</w:t>
      </w:r>
    </w:p>
    <w:p>
      <w:pPr>
        <w:spacing w:after="160" w:line="276" w:lineRule="auto"/>
      </w:pPr>
      <w:r>
        <w:t xml:space="preserve">rendered it. That contradicted the Data Isolation Guarantee published on the intake pages.</w:t>
      </w:r>
    </w:p>
    <w:p>
      <w:pPr>
        <w:spacing w:after="160" w:line="276" w:lineRule="auto"/>
      </w:pPr>
      <w:r>
        <w:t xml:space="preserve">**It was removed on 14 August 2026 while the table still held zero rows, so no customer text</w:t>
      </w:r>
    </w:p>
    <w:p>
      <w:pPr>
        <w:spacing w:after="160" w:line="276" w:lineRule="auto"/>
      </w:pPr>
      <w:r>
        <w:t xml:space="preserve">was ever exposed.** The removal is documented inline at `api/review-engine.js`.</w:t>
      </w:r>
    </w:p>
    <w:p>
      <w:pPr>
        <w:spacing w:after="160" w:line="276" w:lineRule="auto"/>
      </w:pPr>
      <w:r>
        <w:rPr>
          <w:b/>
        </w:rPr>
        <w:t xml:space="preserve">For a host that requires zero retention of any kind</w:t>
      </w:r>
      <w:r>
        <w:t xml:space="preserve">, the structured row is a</w:t>
      </w:r>
    </w:p>
    <w:p>
      <w:pPr>
        <w:spacing w:after="160" w:line="276" w:lineRule="auto"/>
      </w:pPr>
      <w:r>
        <w:t xml:space="preserve">configuration point and can be disabled without affecting the evaluation.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5. Determinism, variance and the reproducibility record</w:t>
      </w:r>
    </w:p>
    <w:p>
      <w:pPr>
        <w:spacing w:after="160" w:line="276" w:lineRule="auto"/>
      </w:pPr>
      <w:r>
        <w:t xml:space="preserve">Where the evaluation is executed by a language model, the same record can be run more than</w:t>
      </w:r>
    </w:p>
    <w:p>
      <w:pPr>
        <w:spacing w:after="160" w:line="276" w:lineRule="auto"/>
      </w:pPr>
      <w:r>
        <w:t xml:space="preserve">once and the responses compared. The endpoint returns `runs` and `overall_consistency` for</w:t>
      </w:r>
    </w:p>
    <w:p>
      <w:pPr>
        <w:spacing w:after="160" w:line="276" w:lineRule="auto"/>
      </w:pPr>
      <w:r>
        <w:t xml:space="preserve">exactly this purpose.</w:t>
      </w:r>
    </w:p>
    <w:p>
      <w:pPr>
        <w:spacing w:after="160" w:line="276" w:lineRule="auto"/>
      </w:pPr>
      <w:r>
        <w:rPr>
          <w:b/>
        </w:rPr>
        <w:t xml:space="preserve">The programme's own cross-vendor measurement, for reference:</w:t>
      </w:r>
      <w:r>
        <w:t xml:space="preserve"> three models from three</w:t>
      </w:r>
    </w:p>
    <w:p>
      <w:pPr>
        <w:spacing w:after="160" w:line="276" w:lineRule="auto"/>
      </w:pPr>
      <w:r>
        <w:t xml:space="preserve">independent vendors applied the standard to the same constructed records across 61 nightly</w:t>
      </w:r>
    </w:p>
    <w:p>
      <w:pPr>
        <w:spacing w:after="160" w:line="276" w:lineRule="auto"/>
      </w:pPr>
      <w:r>
        <w:t xml:space="preserve">runs to 21 August 2026. **Mean agreement 84.9 percent, standard deviation 6.4 points, range</w:t>
      </w:r>
    </w:p>
    <w:p>
      <w:pPr>
        <w:spacing w:after="160" w:line="276" w:lineRule="auto"/>
      </w:pPr>
      <w:r>
        <w:t xml:space="preserve">66.7 to 100 percent.**</w:t>
      </w:r>
    </w:p>
    <w:p>
      <w:pPr>
        <w:spacing w:after="160" w:line="276" w:lineRule="auto"/>
      </w:pPr>
      <w:r>
        <w:t xml:space="preserve">The dispersion is stated deliberately. A single headline figure would overstate the</w:t>
      </w:r>
    </w:p>
    <w:p>
      <w:pPr>
        <w:spacing w:after="160" w:line="276" w:lineRule="auto"/>
      </w:pPr>
      <w:r>
        <w:t xml:space="preserve">stability, and an integrating engineer needs the range to set their own thresholds.</w:t>
      </w:r>
    </w:p>
    <w:p>
      <w:pPr>
        <w:spacing w:after="160" w:line="276" w:lineRule="auto"/>
      </w:pPr>
      <w:r>
        <w:rPr>
          <w:b/>
        </w:rPr>
        <w:t xml:space="preserve">Status note:</w:t>
      </w:r>
      <w:r>
        <w:t xml:space="preserve"> the nightly series was suspended on 21 August 2026 when the validation</w:t>
      </w:r>
    </w:p>
    <w:p>
      <w:pPr>
        <w:spacing w:after="160" w:line="276" w:lineRule="auto"/>
      </w:pPr>
      <w:r>
        <w:t xml:space="preserve">studies were closed. The 61 runs are a completed series, not a live feed.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6. Error contract</w:t>
      </w:r>
    </w:p>
    <w:p>
      <w:pPr>
        <w:spacing w:after="160" w:line="276" w:lineRule="auto"/>
      </w:pPr>
      <w:r>
        <w:t xml:space="preserve">| Condition | Behaviour |</w:t>
      </w:r>
    </w:p>
    <w:p>
      <w:pPr>
        <w:spacing w:after="160" w:line="276" w:lineRule="auto"/>
      </w:pPr>
      <w:r>
        <w:t xml:space="preserve">|---|---|</w:t>
      </w:r>
    </w:p>
    <w:p>
      <w:pPr>
        <w:spacing w:after="160" w:line="276" w:lineRule="auto"/>
      </w:pPr>
      <w:r>
        <w:t xml:space="preserve">| Input over the size cap | Rejected with a structured error. Nothing evaluated |</w:t>
      </w:r>
    </w:p>
    <w:p>
      <w:pPr>
        <w:spacing w:after="160" w:line="276" w:lineRule="auto"/>
      </w:pPr>
      <w:r>
        <w:t xml:space="preserve">| Rate limit exceeded | Rejected with a structured error |</w:t>
      </w:r>
    </w:p>
    <w:p>
      <w:pPr>
        <w:spacing w:after="160" w:line="276" w:lineRule="auto"/>
      </w:pPr>
      <w:r>
        <w:t xml:space="preserve">| Upstream model unavailable | Structured error. </w:t>
      </w:r>
      <w:r>
        <w:rPr>
          <w:b/>
        </w:rPr>
        <w:t xml:space="preserve">No partial or guessed determination is returned</w:t>
      </w:r>
      <w:r>
        <w:t xml:space="preserve"> |</w:t>
      </w:r>
    </w:p>
    <w:p>
      <w:pPr>
        <w:spacing w:after="160" w:line="276" w:lineRule="auto"/>
      </w:pPr>
      <w:r>
        <w:t xml:space="preserve">| Malformed input | Structured error naming the field |</w:t>
      </w:r>
    </w:p>
    <w:p>
      <w:pPr>
        <w:spacing w:after="160" w:line="276" w:lineRule="auto"/>
      </w:pPr>
      <w:r>
        <w:rPr>
          <w:b/>
        </w:rPr>
        <w:t xml:space="preserve">A determination is never synthesised on failure.</w:t>
      </w:r>
      <w:r>
        <w:t xml:space="preserve"> A host system can treat the absence of</w:t>
      </w:r>
    </w:p>
    <w:p>
      <w:pPr>
        <w:spacing w:after="160" w:line="276" w:lineRule="auto"/>
      </w:pPr>
      <w:r>
        <w:t xml:space="preserve">a determination as a hard signal rather than having to detect a degraded one.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7. Versioning</w:t>
      </w:r>
    </w:p>
    <w:p>
      <w:pPr>
        <w:spacing w:after="160" w:line="276" w:lineRule="auto"/>
      </w:pPr>
      <w:r>
        <w:t xml:space="preserve">This is v1.0 of the integration contract. The five conditions, the three determination</w:t>
      </w:r>
    </w:p>
    <w:p>
      <w:pPr>
        <w:spacing w:after="160" w:line="276" w:lineRule="auto"/>
      </w:pPr>
      <w:r>
        <w:t xml:space="preserve">values and the determination rule are the stable surface. Any change to the rule or to the</w:t>
      </w:r>
    </w:p>
    <w:p>
      <w:pPr>
        <w:spacing w:after="160" w:line="276" w:lineRule="auto"/>
      </w:pPr>
      <w:r>
        <w:t xml:space="preserve">condition set is a major version, because a host's test assertions depend on both.</w:t>
      </w:r>
    </w:p>
    <w:p>
      <w:pPr>
        <w:pBdr>
          <w:bottom w:val="single" w:sz="6" w:space="1" w:color="BFBFBF"/>
        </w:pBdr>
      </w:pPr>
    </w:p>
    <w:p>
      <w:pPr>
        <w:pStyle w:val="Heading2"/>
        <w:spacing w:before="360" w:after="120"/>
      </w:pPr>
      <w:r>
        <w:t xml:space="preserve">8. What this document does not claim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It is not a certification.</w:t>
      </w:r>
      <w:r>
        <w:t xml:space="preserve"> A `ready` determination is a documentation-quality read, not</w:t>
      </w:r>
    </w:p>
    <w:p>
      <w:pPr>
        <w:spacing w:after="160" w:line="276" w:lineRule="auto"/>
      </w:pPr>
      <w:r>
        <w:t xml:space="preserve">  a legal opinion or a compliance attestation.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It does not claim to improve outcomes.</w:t>
      </w:r>
      <w:r>
        <w:t xml:space="preserve"> The validation programme measures whether the</w:t>
      </w:r>
    </w:p>
    <w:p>
      <w:pPr>
        <w:spacing w:after="160" w:line="276" w:lineRule="auto"/>
      </w:pPr>
      <w:r>
        <w:t xml:space="preserve">  property is detectable and reliably identified. Whether applying it reduces litigation or</w:t>
      </w:r>
    </w:p>
    <w:p>
      <w:pPr>
        <w:spacing w:after="160" w:line="276" w:lineRule="auto"/>
      </w:pPr>
      <w:r>
        <w:t xml:space="preserve">  regulatory exposure has not been tested.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It is not peer-reviewed.</w:t>
      </w:r>
      <w:r>
        <w:t xml:space="preserve"> One practitioner article is accepted for publication;</w:t>
      </w:r>
    </w:p>
    <w:p>
      <w:pPr>
        <w:spacing w:after="160" w:line="276" w:lineRule="auto"/>
      </w:pPr>
      <w:r>
        <w:t xml:space="preserve">  four manuscripts are submission-ready. None has completed peer review.</w:t>
      </w:r>
    </w:p>
    <w:p>
      <w:pPr>
        <w:spacing w:after="160" w:line="276" w:lineRule="auto"/>
      </w:pPr>
      <w:r>
        <w:t xml:space="preserve">- </w:t>
      </w:r>
      <w:r>
        <w:rPr>
          <w:b/>
        </w:rPr>
        <w:t xml:space="preserve">The methodology contributor acted personally.</w:t>
      </w:r>
      <w:r>
        <w:t xml:space="preserve"> The validation methodology was designed</w:t>
      </w:r>
    </w:p>
    <w:p>
      <w:pPr>
        <w:spacing w:after="160" w:line="276" w:lineRule="auto"/>
      </w:pPr>
      <w:r>
        <w:t xml:space="preserve">  by a model-validation director at a Big Four firm, contributing in a personal professional</w:t>
      </w:r>
    </w:p>
    <w:p>
      <w:pPr>
        <w:spacing w:after="160" w:line="276" w:lineRule="auto"/>
      </w:pPr>
      <w:r>
        <w:t xml:space="preserve">  capacity. No institutional endorsement of any kind is claimed or implied.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/>
        <w:sz w:val="22"/>
      </w:rPr>
    </w:rPrDefault>
  </w:docDefaults>
  <w:style w:type="paragraph" w:styleId="Heading1">
    <w:name w:val="heading 1"/>
    <w:rPr>
      <w:rFonts w:ascii="Georgia" w:hAnsi="Georgia"/>
      <w:b/>
      <w:sz w:val="34"/>
    </w:rPr>
  </w:style>
  <w:style w:type="paragraph" w:styleId="Heading2">
    <w:name w:val="heading 2"/>
    <w:rPr>
      <w:rFonts w:ascii="Georgia" w:hAnsi="Georgia"/>
      <w:b/>
      <w:sz w:val="2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