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spacing w:after="120"/>
      </w:pPr>
      <w:r>
        <w:t xml:space="preserve">Email to Kyle McMullan, 2026-08-21</w:t>
      </w:r>
    </w:p>
    <w:p>
      <w:pPr>
        <w:spacing w:after="160" w:line="276" w:lineRule="auto"/>
      </w:pPr>
      <w:r>
        <w:rPr>
          <w:b/>
        </w:rPr>
        <w:t xml:space="preserve">Subject: Your section is in, and one reply finishes it</w:t>
      </w:r>
    </w:p>
    <w:p>
      <w:pPr>
        <w:spacing w:after="160" w:line="276" w:lineRule="auto"/>
      </w:pPr>
      <w:r>
        <w:t xml:space="preserve">```</w:t>
      </w:r>
    </w:p>
    <w:p>
      <w:pPr>
        <w:spacing w:after="160" w:line="276" w:lineRule="auto"/>
      </w:pPr>
      <w:r>
        <w:t xml:space="preserve">Hi Kyle,</w:t>
      </w:r>
    </w:p>
    <w:p>
      <w:pPr>
        <w:spacing w:after="160" w:line="276" w:lineRule="auto"/>
      </w:pPr>
      <w:r>
        <w:t xml:space="preserve">The employment paper is finished and Section 6.4 is yours, as agreed back in July. You are</w:t>
      </w:r>
    </w:p>
    <w:p>
      <w:pPr>
        <w:spacing w:after="160" w:line="276" w:lineRule="auto"/>
      </w:pPr>
      <w:r>
        <w:t xml:space="preserve">second author. Tanvi Pokhriyal is first, since the 22 case reads are her research, and I am</w:t>
      </w:r>
    </w:p>
    <w:p>
      <w:pPr>
        <w:spacing w:after="160" w:line="276" w:lineRule="auto"/>
      </w:pPr>
      <w:r>
        <w:t xml:space="preserve">last as the person who ran the programme.</w:t>
      </w:r>
    </w:p>
    <w:p>
      <w:pPr>
        <w:spacing w:after="160" w:line="276" w:lineRule="auto"/>
      </w:pPr>
      <w:r>
        <w:t xml:space="preserve">Where the paper landed, so you know what your section is sitting next to. Tanvi read 22</w:t>
      </w:r>
    </w:p>
    <w:p>
      <w:pPr>
        <w:spacing w:after="160" w:line="276" w:lineRule="auto"/>
      </w:pPr>
      <w:r>
        <w:t xml:space="preserve">adjudicated employment matters from the decision record alone, before knowing how any of</w:t>
      </w:r>
    </w:p>
    <w:p>
      <w:pPr>
        <w:spacing w:after="160" w:line="276" w:lineRule="auto"/>
      </w:pPr>
      <w:r>
        <w:t xml:space="preserve">them resolved. Records she flagged as incomplete drew an adverse finding in 7 of 9 cases</w:t>
      </w:r>
    </w:p>
    <w:p>
      <w:pPr>
        <w:spacing w:after="160" w:line="276" w:lineRule="auto"/>
      </w:pPr>
      <w:r>
        <w:t xml:space="preserve">against 2 of 13 for the records she passed, at p = 0.0073. We report two other outcome</w:t>
      </w:r>
    </w:p>
    <w:p>
      <w:pPr>
        <w:spacing w:after="160" w:line="276" w:lineRule="auto"/>
      </w:pPr>
      <w:r>
        <w:t xml:space="preserve">codings as well, and one of them is not significant, so all three are printed together</w:t>
      </w:r>
    </w:p>
    <w:p>
      <w:pPr>
        <w:spacing w:after="160" w:line="276" w:lineRule="auto"/>
      </w:pPr>
      <w:r>
        <w:t xml:space="preserve">rather than only the flattering one. The paper claims an effect size and a design for the</w:t>
      </w:r>
    </w:p>
    <w:p>
      <w:pPr>
        <w:spacing w:after="160" w:line="276" w:lineRule="auto"/>
      </w:pPr>
      <w:r>
        <w:t xml:space="preserve">next study. It does not claim the standard improves outcomes, and I have kept your section</w:t>
      </w:r>
    </w:p>
    <w:p>
      <w:pPr>
        <w:spacing w:after="160" w:line="276" w:lineRule="auto"/>
      </w:pPr>
      <w:r>
        <w:t xml:space="preserve">inside that boundary.</w:t>
      </w:r>
    </w:p>
    <w:p>
      <w:pPr>
        <w:spacing w:after="160" w:line="276" w:lineRule="auto"/>
      </w:pPr>
      <w:r>
        <w:t xml:space="preserve">On 6.4 itself. I have written it out as continuous prose and removed the bracketed notes I</w:t>
      </w:r>
    </w:p>
    <w:p>
      <w:pPr>
        <w:spacing w:after="160" w:line="276" w:lineRule="auto"/>
      </w:pPr>
      <w:r>
        <w:t xml:space="preserve">left for you, because internal asks cannot travel inside a submission. The three failure</w:t>
      </w:r>
    </w:p>
    <w:p>
      <w:pPr>
        <w:spacing w:after="160" w:line="276" w:lineRule="auto"/>
      </w:pPr>
      <w:r>
        <w:t xml:space="preserve">patterns are intact: manager convenience, compliance washing, and no second-line review,</w:t>
      </w:r>
    </w:p>
    <w:p>
      <w:pPr>
        <w:spacing w:after="160" w:line="276" w:lineRule="auto"/>
      </w:pPr>
      <w:r>
        <w:t xml:space="preserve">followed by the framing of the standard as a record-level control test with a testable pass</w:t>
      </w:r>
    </w:p>
    <w:p>
      <w:pPr>
        <w:spacing w:after="160" w:line="276" w:lineRule="auto"/>
      </w:pPr>
      <w:r>
        <w:t xml:space="preserve">condition. What is missing is you.</w:t>
      </w:r>
    </w:p>
    <w:p>
      <w:pPr>
        <w:spacing w:after="160" w:line="276" w:lineRule="auto"/>
      </w:pPr>
      <w:r>
        <w:t xml:space="preserve">Two things would genuinely improve it, and neither is required for us to submit:</w:t>
      </w:r>
    </w:p>
    <w:p>
      <w:pPr>
        <w:spacing w:after="160" w:line="276" w:lineRule="auto"/>
      </w:pPr>
      <w:r>
        <w:t xml:space="preserve">- One or two short de-identified illustrations from your own examinations, one per failure</w:t>
      </w:r>
    </w:p>
    <w:p>
      <w:pPr>
        <w:spacing w:after="160" w:line="276" w:lineRule="auto"/>
      </w:pPr>
      <w:r>
        <w:t xml:space="preserve">  pattern if you have them. No client names, no identifying detail. Your examples are the</w:t>
      </w:r>
    </w:p>
    <w:p>
      <w:pPr>
        <w:spacing w:after="160" w:line="276" w:lineRule="auto"/>
      </w:pPr>
      <w:r>
        <w:t xml:space="preserve">  part that would make that section land with an audit readership, and I cannot write them</w:t>
      </w:r>
    </w:p>
    <w:p>
      <w:pPr>
        <w:spacing w:after="160" w:line="276" w:lineRule="auto"/>
      </w:pPr>
      <w:r>
        <w:t xml:space="preserve">  because I have not sat where you have sat.</w:t>
      </w:r>
    </w:p>
    <w:p>
      <w:pPr>
        <w:spacing w:after="160" w:line="276" w:lineRule="auto"/>
      </w:pPr>
      <w:r>
        <w:t xml:space="preserve">- Anything in the section that does not match how audit and financial-crime work actually</w:t>
      </w:r>
    </w:p>
    <w:p>
      <w:pPr>
        <w:spacing w:after="160" w:line="276" w:lineRule="auto"/>
      </w:pPr>
      <w:r>
        <w:t xml:space="preserve">  runs. I wrote it from the outside. If the three-lines-of-defence framing at the end is</w:t>
      </w:r>
    </w:p>
    <w:p>
      <w:pPr>
        <w:spacing w:after="160" w:line="276" w:lineRule="auto"/>
      </w:pPr>
      <w:r>
        <w:t xml:space="preserve">  off, or if an examiner would not put it that way, tell me and I will take it out or</w:t>
      </w:r>
    </w:p>
    <w:p>
      <w:pPr>
        <w:spacing w:after="160" w:line="276" w:lineRule="auto"/>
      </w:pPr>
      <w:r>
        <w:t xml:space="preserve">  rewrite it however you say.</w:t>
      </w:r>
    </w:p>
    <w:p>
      <w:pPr>
        <w:spacing w:after="160" w:line="276" w:lineRule="auto"/>
      </w:pPr>
      <w:r>
        <w:t xml:space="preserve">The draft is attached. If you can, reply once with all of this:</w:t>
      </w:r>
    </w:p>
    <w:p>
      <w:pPr>
        <w:ind w:left="360" w:hanging="360"/>
        <w:spacing w:after="60"/>
      </w:pPr>
      <w:r>
        <w:t xml:space="preserve">1. Your name and title exactly as you want them printed. I currently have</w:t>
      </w:r>
    </w:p>
    <w:p>
      <w:pPr>
        <w:spacing w:after="160" w:line="276" w:lineRule="auto"/>
      </w:pPr>
      <w:r>
        <w:t xml:space="preserve">   "Kyle McMullan, Chief Audit Executive; internal audit and financial crimes; former Chief</w:t>
      </w:r>
    </w:p>
    <w:p>
      <w:pPr>
        <w:spacing w:after="160" w:line="276" w:lineRule="auto"/>
      </w:pPr>
      <w:r>
        <w:t xml:space="preserve">   Auditor, AML International and Financial Crimes International, Citi; Chartered</w:t>
      </w:r>
    </w:p>
    <w:p>
      <w:pPr>
        <w:spacing w:after="160" w:line="276" w:lineRule="auto"/>
      </w:pPr>
      <w:r>
        <w:t xml:space="preserve">   Accountants Ireland." Cut or change any of it.</w:t>
      </w:r>
    </w:p>
    <w:p>
      <w:pPr>
        <w:ind w:left="360" w:hanging="360"/>
        <w:spacing w:after="60"/>
      </w:pPr>
      <w:r>
        <w:t xml:space="preserve">2. Section 6.4: approved as written, approved with your edits, or your rewrite. Whichever is</w:t>
      </w:r>
    </w:p>
    <w:p>
      <w:pPr>
        <w:spacing w:after="160" w:line="276" w:lineRule="auto"/>
      </w:pPr>
      <w:r>
        <w:t xml:space="preserve">   easiest, including tracked changes on the attachment.</w:t>
      </w:r>
    </w:p>
    <w:p>
      <w:pPr>
        <w:ind w:left="360" w:hanging="360"/>
        <w:spacing w:after="60"/>
      </w:pPr>
      <w:r>
        <w:t xml:space="preserve">3. Your de-identified examples, if you have them and want them in.</w:t>
      </w:r>
    </w:p>
    <w:p>
      <w:pPr>
        <w:ind w:left="360" w:hanging="360"/>
        <w:spacing w:after="60"/>
      </w:pPr>
      <w:r>
        <w:t xml:space="preserve">4. Two declarations the journal requires from every author, in your own words: whether you</w:t>
      </w:r>
    </w:p>
    <w:p>
      <w:pPr>
        <w:spacing w:after="160" w:line="276" w:lineRule="auto"/>
      </w:pPr>
      <w:r>
        <w:t xml:space="preserve">   hold any financial or commercial interest in the Justification Review Standard, and</w:t>
      </w:r>
    </w:p>
    <w:p>
      <w:pPr>
        <w:spacing w:after="160" w:line="276" w:lineRule="auto"/>
      </w:pPr>
      <w:r>
        <w:t xml:space="preserve">   whether you received any funding for this work. I expect both are no, but those have to</w:t>
      </w:r>
    </w:p>
    <w:p>
      <w:pPr>
        <w:spacing w:after="160" w:line="276" w:lineRule="auto"/>
      </w:pPr>
      <w:r>
        <w:t xml:space="preserve">   be your words rather than mine.</w:t>
      </w:r>
    </w:p>
    <w:p>
      <w:pPr>
        <w:spacing w:after="160" w:line="276" w:lineRule="auto"/>
      </w:pPr>
      <w:r>
        <w:t xml:space="preserve">That is the lot. One reply and the paper is ready to go out.</w:t>
      </w:r>
    </w:p>
    <w:p>
      <w:pPr>
        <w:spacing w:after="160" w:line="276" w:lineRule="auto"/>
      </w:pPr>
      <w:r>
        <w:t xml:space="preserve">Thank you for staying with this. A section written by someone who has actually had to test</w:t>
      </w:r>
    </w:p>
    <w:p>
      <w:pPr>
        <w:spacing w:after="160" w:line="276" w:lineRule="auto"/>
      </w:pPr>
      <w:r>
        <w:t xml:space="preserve">a file under examination is worth more to the paper than anything I could have written in</w:t>
      </w:r>
    </w:p>
    <w:p>
      <w:pPr>
        <w:spacing w:after="160" w:line="276" w:lineRule="auto"/>
      </w:pPr>
      <w:r>
        <w:t xml:space="preserve">its place.</w:t>
      </w:r>
    </w:p>
    <w:p>
      <w:pPr>
        <w:spacing w:after="160" w:line="276" w:lineRule="auto"/>
      </w:pPr>
      <w:r>
        <w:t xml:space="preserve">Best,</w:t>
      </w:r>
    </w:p>
    <w:p>
      <w:pPr>
        <w:spacing w:after="160" w:line="276" w:lineRule="auto"/>
      </w:pPr>
      <w:r>
        <w:t xml:space="preserve">Phillip</w:t>
      </w:r>
    </w:p>
    <w:p>
      <w:pPr>
        <w:spacing w:after="160" w:line="276" w:lineRule="auto"/>
      </w:pPr>
      <w:r>
        <w:t xml:space="preserve">```</w:t>
      </w:r>
    </w:p>
    <w:p>
      <w:pPr>
        <w:pBdr>
          <w:bottom w:val="single" w:sz="6" w:space="1" w:color="BFBFBF"/>
        </w:pBdr>
      </w:pPr>
    </w:p>
    <w:p>
      <w:pPr>
        <w:pStyle w:val="Heading2"/>
        <w:spacing w:before="360" w:after="120"/>
      </w:pPr>
      <w:r>
        <w:t xml:space="preserve">Notes for Phillip, not part of the email</w:t>
      </w:r>
    </w:p>
    <w:p>
      <w:pPr>
        <w:spacing w:after="160" w:line="276" w:lineRule="auto"/>
      </w:pPr>
      <w:r>
        <w:rPr>
          <w:b/>
        </w:rPr>
        <w:t xml:space="preserve">Attach:</w:t>
      </w:r>
      <w:r>
        <w:t xml:space="preserve"> `Employment_Records_Article_2026-08-21.docx`. Nothing else.</w:t>
      </w:r>
    </w:p>
    <w:p>
      <w:pPr>
        <w:spacing w:after="160" w:line="276" w:lineRule="auto"/>
      </w:pPr>
      <w:r>
        <w:rPr>
          <w:b/>
        </w:rPr>
        <w:t xml:space="preserve">Do not attach</w:t>
      </w:r>
      <w:r>
        <w:t xml:space="preserve"> the submission memo or `Draft_Kyle_Section_6.4.md`, which is now</w:t>
      </w:r>
    </w:p>
    <w:p>
      <w:pPr>
        <w:spacing w:after="160" w:line="276" w:lineRule="auto"/>
      </w:pPr>
      <w:r>
        <w:t xml:space="preserve">superseded by the prose in the manuscript.</w:t>
      </w:r>
    </w:p>
    <w:p>
      <w:pPr>
        <w:spacing w:after="160" w:line="276" w:lineRule="auto"/>
      </w:pPr>
      <w:r>
        <w:rPr>
          <w:b/>
        </w:rPr>
        <w:t xml:space="preserve">His authorship condition, verbatim from the record.</w:t>
      </w:r>
      <w:r>
        <w:t xml:space="preserve"> `BusinessEthics_Article_Draft.md:9`:</w:t>
      </w:r>
    </w:p>
    <w:p>
      <w:pPr>
        <w:spacing w:after="160" w:line="276" w:lineRule="auto"/>
      </w:pPr>
      <w:r>
        <w:t xml:space="preserve">"Authorship final on his substantive pass at 6.4 and his review of the full manuscript."</w:t>
      </w:r>
    </w:p>
    <w:p>
      <w:pPr>
        <w:spacing w:after="160" w:line="276" w:lineRule="auto"/>
      </w:pPr>
      <w:r>
        <w:t xml:space="preserve">Item 2 in the email is that pass. If he approves as written, that condition is met.</w:t>
      </w:r>
    </w:p>
    <w:p>
      <w:pPr>
        <w:spacing w:after="160" w:line="276" w:lineRule="auto"/>
      </w:pPr>
      <w:r>
        <w:rPr>
          <w:b/>
        </w:rPr>
        <w:t xml:space="preserve">Why the examples are framed as optional.</w:t>
      </w:r>
      <w:r>
        <w:t xml:space="preserve"> They have been outstanding since 18 July. Making</w:t>
      </w:r>
    </w:p>
    <w:p>
      <w:pPr>
        <w:spacing w:after="160" w:line="276" w:lineRule="auto"/>
      </w:pPr>
      <w:r>
        <w:t xml:space="preserve">them a blocker risks another month. The paper is submittable without them and better with</w:t>
      </w:r>
    </w:p>
    <w:p>
      <w:pPr>
        <w:spacing w:after="160" w:line="276" w:lineRule="auto"/>
      </w:pPr>
      <w:r>
        <w:t xml:space="preserve">them, and the email says exactly that.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/>
        <w:sz w:val="22"/>
      </w:rPr>
    </w:rPrDefault>
  </w:docDefaults>
  <w:style w:type="paragraph" w:styleId="Heading1">
    <w:name w:val="heading 1"/>
    <w:rPr>
      <w:rFonts w:ascii="Georgia" w:hAnsi="Georgia"/>
      <w:b/>
      <w:sz w:val="34"/>
    </w:rPr>
  </w:style>
  <w:style w:type="paragraph" w:styleId="Heading2">
    <w:name w:val="heading 2"/>
    <w:rPr>
      <w:rFonts w:ascii="Georgia" w:hAnsi="Georgia"/>
      <w:b/>
      <w:sz w:val="26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