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spacing w:after="120"/>
      </w:pPr>
      <w:r>
        <w:t xml:space="preserve">Employment records article: submission memo</w:t>
      </w:r>
    </w:p>
    <w:p>
      <w:pPr>
        <w:spacing w:after="160" w:line="276" w:lineRule="auto"/>
      </w:pPr>
      <w:r>
        <w:rPr>
          <w:b/>
        </w:rPr>
        <w:t xml:space="preserve">INTERNAL. Do not send to a publisher and do not attach to the manuscript.</w:t>
      </w:r>
      <w:r>
        <w:t xml:space="preserve"> The</w:t>
      </w:r>
    </w:p>
    <w:p>
      <w:pPr>
        <w:spacing w:after="160" w:line="276" w:lineRule="auto"/>
      </w:pPr>
      <w:r>
        <w:t xml:space="preserve">manuscript carries no venue line by design.</w:t>
      </w:r>
    </w:p>
    <w:p>
      <w:pPr>
        <w:pBdr>
          <w:bottom w:val="single" w:sz="6" w:space="1" w:color="BFBFBF"/>
        </w:pBdr>
      </w:pPr>
    </w:p>
    <w:p>
      <w:pPr>
        <w:pStyle w:val="Heading2"/>
        <w:spacing w:before="360" w:after="120"/>
      </w:pPr>
      <w:r>
        <w:t xml:space="preserve">1. Byline, as it now stands</w:t>
      </w:r>
    </w:p>
    <w:p>
      <w:pPr>
        <w:spacing w:after="160" w:line="276" w:lineRule="auto"/>
      </w:pPr>
      <w:r>
        <w:t xml:space="preserve">**Tanvi Pokhriyal first, Kyle McMullan second, Phillip Wikes last as senior author. Ubayet</w:t>
      </w:r>
    </w:p>
    <w:p>
      <w:pPr>
        <w:spacing w:after="160" w:line="276" w:lineRule="auto"/>
      </w:pPr>
      <w:r>
        <w:t xml:space="preserve">Hossain, FRM, is a named Contributor rather than a co-author.** Changed 2026-08-21 on the</w:t>
      </w:r>
    </w:p>
    <w:p>
      <w:pPr>
        <w:spacing w:after="160" w:line="276" w:lineRule="auto"/>
      </w:pPr>
      <w:r>
        <w:t xml:space="preserve">owner's instruction: the research is Pokhriyal's, so she leads.</w:t>
      </w:r>
    </w:p>
    <w:p>
      <w:pPr>
        <w:spacing w:after="160" w:line="276" w:lineRule="auto"/>
      </w:pPr>
      <w:r>
        <w:rPr>
          <w:b/>
        </w:rPr>
        <w:t xml:space="preserve">ONE COMMITMENT TO SETTLE BEFORE THIS GOES OUT.</w:t>
      </w:r>
      <w:r>
        <w:t xml:space="preserve"> Hossain was promised co-authorship in</w:t>
      </w:r>
    </w:p>
    <w:p>
      <w:pPr>
        <w:spacing w:after="160" w:line="276" w:lineRule="auto"/>
      </w:pPr>
      <w:r>
        <w:t xml:space="preserve">writing, twice. `BusinessEthics_Article_Draft.md:10` reads "Co-authorship final on his</w:t>
      </w:r>
    </w:p>
    <w:p>
      <w:pPr>
        <w:spacing w:after="160" w:line="276" w:lineRule="auto"/>
      </w:pPr>
      <w:r>
        <w:t xml:space="preserve">review and approval of this manuscript", and `Author_Review_Package_2026-08-01.md:58` reads</w:t>
      </w:r>
    </w:p>
    <w:p>
      <w:pPr>
        <w:spacing w:after="160" w:line="276" w:lineRule="auto"/>
      </w:pPr>
      <w:r>
        <w:t xml:space="preserve">"Your co-authorship is final on your review and approval of this manuscript, **as we</w:t>
      </w:r>
    </w:p>
    <w:p>
      <w:pPr>
        <w:spacing w:after="160" w:line="276" w:lineRule="auto"/>
      </w:pPr>
      <w:r>
        <w:t xml:space="preserve">agreed**." He also holds honor `H-2026-38`, whose public citation names him "a co-author of</w:t>
      </w:r>
    </w:p>
    <w:p>
      <w:pPr>
        <w:spacing w:after="160" w:line="276" w:lineRule="auto"/>
      </w:pPr>
      <w:r>
        <w:t xml:space="preserve">the methodology."</w:t>
      </w:r>
    </w:p>
    <w:p>
      <w:pPr>
        <w:spacing w:after="160" w:line="276" w:lineRule="auto"/>
      </w:pPr>
      <w:r>
        <w:t xml:space="preserve">Moving him to Contributor is the owner's call and the credit itself is undiminished: his</w:t>
      </w:r>
    </w:p>
    <w:p>
      <w:pPr>
        <w:spacing w:after="160" w:line="276" w:lineRule="auto"/>
      </w:pPr>
      <w:r>
        <w:t xml:space="preserve">methodology is described in full in the byline block and again in Section 4. **But it walks</w:t>
      </w:r>
    </w:p>
    <w:p>
      <w:pPr>
        <w:spacing w:after="160" w:line="276" w:lineRule="auto"/>
      </w:pPr>
      <w:r>
        <w:t xml:space="preserve">back a written promise that used the words "as we agreed", and he should hear it from</w:t>
      </w:r>
    </w:p>
    <w:p>
      <w:pPr>
        <w:spacing w:after="160" w:line="276" w:lineRule="auto"/>
      </w:pPr>
      <w:r>
        <w:t xml:space="preserve">Phillip directly before he reads it on a title page.** The manuscript's declaration stub</w:t>
      </w:r>
    </w:p>
    <w:p>
      <w:pPr>
        <w:spacing w:after="160" w:line="276" w:lineRule="auto"/>
      </w:pPr>
      <w:r>
        <w:t xml:space="preserve">requires him to confirm he accepts contributor credit. If he would rather keep</w:t>
      </w:r>
    </w:p>
    <w:p>
      <w:pPr>
        <w:spacing w:after="160" w:line="276" w:lineRule="auto"/>
      </w:pPr>
      <w:r>
        <w:t xml:space="preserve">co-authorship, restoring him is a one-line change and the honor citation stays accurate.</w:t>
      </w:r>
    </w:p>
    <w:p>
      <w:pPr>
        <w:spacing w:after="160" w:line="276" w:lineRule="auto"/>
      </w:pPr>
      <w:r>
        <w:rPr>
          <w:b/>
        </w:rPr>
        <w:t xml:space="preserve">Stacyann Young is not an author here.</w:t>
      </w:r>
      <w:r>
        <w:t xml:space="preserve"> She is first author of the companion</w:t>
      </w:r>
    </w:p>
    <w:p>
      <w:pPr>
        <w:spacing w:after="160" w:line="276" w:lineRule="auto"/>
      </w:pPr>
      <w:r>
        <w:t xml:space="preserve">public-records paper and is cited once, in the scope note. `scripts/verify_employment_article.py` asserts the byline positionally on every run and fails if the order changes or if Young reappears in it.</w:t>
      </w:r>
    </w:p>
    <w:p>
      <w:pPr>
        <w:spacing w:after="160" w:line="276" w:lineRule="auto"/>
      </w:pPr>
      <w:r>
        <w:rPr>
          <w:b/>
        </w:rPr>
        <w:t xml:space="preserve">Kyle McMullan is a co-author and Section 6.4 is his.</w:t>
      </w:r>
      <w:r>
        <w:t xml:space="preserve"> It is written out in full in the</w:t>
      </w:r>
    </w:p>
    <w:p>
      <w:pPr>
        <w:spacing w:after="160" w:line="276" w:lineRule="auto"/>
      </w:pPr>
      <w:r>
        <w:t xml:space="preserve">manuscript with his four bracketed placeholder asks removed, because internal instructions</w:t>
      </w:r>
    </w:p>
    <w:p>
      <w:pPr>
        <w:spacing w:after="160" w:line="276" w:lineRule="auto"/>
      </w:pPr>
      <w:r>
        <w:t xml:space="preserve">to a co-author cannot ship inside a submission. **His de-identified examples are still</w:t>
      </w:r>
    </w:p>
    <w:p>
      <w:pPr>
        <w:spacing w:after="160" w:line="276" w:lineRule="auto"/>
      </w:pPr>
      <w:r>
        <w:t xml:space="preserve">wanted** and are the one thing that would materially improve that section.</w:t>
      </w:r>
    </w:p>
    <w:p>
      <w:pPr>
        <w:pBdr>
          <w:bottom w:val="single" w:sz="6" w:space="1" w:color="BFBFBF"/>
        </w:pBdr>
      </w:pPr>
    </w:p>
    <w:p>
      <w:pPr>
        <w:pStyle w:val="Heading2"/>
        <w:spacing w:before="360" w:after="120"/>
      </w:pPr>
      <w:r>
        <w:t xml:space="preserve">2. Journal of Business Ethics is the wrong venue</w:t>
      </w:r>
    </w:p>
    <w:p>
      <w:pPr>
        <w:spacing w:after="160" w:line="276" w:lineRule="auto"/>
      </w:pPr>
      <w:r>
        <w:t xml:space="preserve">JBE is FT50 and ABS 4*. It publishes normative business-ethics theory and large-scale</w:t>
      </w:r>
    </w:p>
    <w:p>
      <w:pPr>
        <w:spacing w:after="160" w:line="276" w:lineRule="auto"/>
      </w:pPr>
      <w:r>
        <w:t xml:space="preserve">empirical work. A 22-case, single-reviewer, non-blind pilot with a coding-dependent result</w:t>
      </w:r>
    </w:p>
    <w:p>
      <w:pPr>
        <w:spacing w:after="160" w:line="276" w:lineRule="auto"/>
      </w:pPr>
      <w:r>
        <w:t xml:space="preserve">will be desk-rejected without review. </w:t>
      </w:r>
      <w:r>
        <w:rPr>
          <w:b/>
        </w:rPr>
        <w:t xml:space="preserve">Estimated acceptance under 5 percent</w:t>
      </w:r>
      <w:r>
        <w:t xml:space="preserve">, and a desk</w:t>
      </w:r>
    </w:p>
    <w:p>
      <w:pPr>
        <w:spacing w:after="160" w:line="276" w:lineRule="auto"/>
      </w:pPr>
      <w:r>
        <w:t xml:space="preserve">rejection costs two to six weeks and teaches nothing.</w:t>
      </w:r>
    </w:p>
    <w:p>
      <w:pPr>
        <w:pStyle w:val="Heading2"/>
        <w:spacing w:before="360" w:after="120"/>
      </w:pPr>
      <w:r>
        <w:t xml:space="preserve">3. Recommended venue</w:t>
      </w:r>
    </w:p>
    <w:p>
      <w:pPr>
        <w:spacing w:after="160" w:line="276" w:lineRule="auto"/>
      </w:pPr>
      <w:r>
        <w:t xml:space="preserve">*</w:t>
      </w:r>
      <w:r>
        <w:rPr>
          <w:i/>
        </w:rPr>
        <w:t xml:space="preserve">Primary: </w:t>
      </w:r>
      <w:r>
        <w:t xml:space="preserve">Records Management Journal</w:t>
      </w:r>
      <w:r>
        <w:rPr>
          <w:i/>
        </w:rPr>
        <w:t xml:space="preserve"> (Emerald), subscription route.</w:t>
      </w:r>
      <w:r>
        <w:t xml:space="preserve">*</w:t>
      </w:r>
    </w:p>
    <w:p>
      <w:pPr>
        <w:spacing w:after="160" w:line="276" w:lineRule="auto"/>
      </w:pPr>
      <w:r>
        <w:t xml:space="preserve">| Criterion | Assessment |</w:t>
      </w:r>
    </w:p>
    <w:p>
      <w:pPr>
        <w:spacing w:after="160" w:line="276" w:lineRule="auto"/>
      </w:pPr>
      <w:r>
        <w:t xml:space="preserve">|---|---|</w:t>
      </w:r>
    </w:p>
    <w:p>
      <w:pPr>
        <w:spacing w:after="160" w:line="276" w:lineRule="auto"/>
      </w:pPr>
      <w:r>
        <w:t xml:space="preserve">| Cost | Emerald hybrid. </w:t>
      </w:r>
      <w:r>
        <w:rPr>
          <w:b/>
        </w:rPr>
        <w:t xml:space="preserve">Subscription route carries no article processing charge.</w:t>
      </w:r>
      <w:r>
        <w:t xml:space="preserve"> Their optional open-access route is GBP 3,222. This was the deciding factor in `Venue_Decision_Detection_Paper_2026-08-05.md` and it is the deciding factor here |</w:t>
      </w:r>
    </w:p>
    <w:p>
      <w:pPr>
        <w:spacing w:after="160" w:line="276" w:lineRule="auto"/>
      </w:pPr>
      <w:r>
        <w:t xml:space="preserve">| Scope | Recordkeeping, documentation quality, evidentiary sufficiency. The paper's actual subject |</w:t>
      </w:r>
    </w:p>
    <w:p>
      <w:pPr>
        <w:spacing w:after="160" w:line="276" w:lineRule="auto"/>
      </w:pPr>
      <w:r>
        <w:t xml:space="preserve">| Audit readership | Section 6.4's three-lines-of-defence framing lands with this readership, which JBE's does not |</w:t>
      </w:r>
    </w:p>
    <w:p>
      <w:pPr>
        <w:spacing w:after="160" w:line="276" w:lineRule="auto"/>
      </w:pPr>
      <w:r>
        <w:t xml:space="preserve">| Collision | </w:t>
      </w:r>
      <w:r>
        <w:rPr>
          <w:b/>
        </w:rPr>
        <w:t xml:space="preserve">Conditional only.</w:t>
      </w:r>
      <w:r>
        <w:t xml:space="preserve"> RMJ is the third alternate on the single-authored EDPACS piece (`Backup_Article_EDPACS_DRR_Control.md:7`), behind EDPACS itself and ISACA Journal. It becomes a real conflict only if both decline |</w:t>
      </w:r>
    </w:p>
    <w:p>
      <w:pPr>
        <w:spacing w:after="160" w:line="276" w:lineRule="auto"/>
      </w:pPr>
      <w:r>
        <w:t xml:space="preserve">| Tolerance for a pilot | A methods-and-practice journal reviews work at this scale |</w:t>
      </w:r>
    </w:p>
    <w:p>
      <w:pPr>
        <w:spacing w:after="160" w:line="276" w:lineRule="auto"/>
      </w:pPr>
      <w:r>
        <w:t xml:space="preserve">*</w:t>
      </w:r>
      <w:r>
        <w:rPr>
          <w:i/>
        </w:rPr>
        <w:t xml:space="preserve">Second: </w:t>
      </w:r>
      <w:r>
        <w:t xml:space="preserve">Journal of Documentation</w:t>
      </w:r>
      <w:r>
        <w:rPr>
          <w:i/>
        </w:rPr>
        <w:t xml:space="preserve"> (Emerald).</w:t>
      </w:r>
      <w:r>
        <w:t xml:space="preserve">* Same cost model, no collision anywhere in</w:t>
      </w:r>
    </w:p>
    <w:p>
      <w:pPr>
        <w:spacing w:after="160" w:line="276" w:lineRule="auto"/>
      </w:pPr>
      <w:r>
        <w:t xml:space="preserve">the portfolio, and it publishes measurement and instrument-validation work about documents</w:t>
      </w:r>
    </w:p>
    <w:p>
      <w:pPr>
        <w:spacing w:after="160" w:line="276" w:lineRule="auto"/>
      </w:pPr>
      <w:r>
        <w:t xml:space="preserve">as evidence. Slightly more theoretical than this paper.</w:t>
      </w:r>
    </w:p>
    <w:p>
      <w:pPr>
        <w:spacing w:after="160" w:line="276" w:lineRule="auto"/>
      </w:pPr>
      <w:r>
        <w:t xml:space="preserve">*</w:t>
      </w:r>
      <w:r>
        <w:rPr>
          <w:i/>
        </w:rPr>
        <w:t xml:space="preserve">Third: </w:t>
      </w:r>
      <w:r>
        <w:t xml:space="preserve">International Journal of Law and Management</w:t>
      </w:r>
      <w:r>
        <w:rPr>
          <w:i/>
        </w:rPr>
        <w:t xml:space="preserve"> (Emerald).</w:t>
      </w:r>
      <w:r>
        <w:t xml:space="preserve">* Same cost model.</w:t>
      </w:r>
    </w:p>
    <w:p>
      <w:pPr>
        <w:spacing w:after="160" w:line="276" w:lineRule="auto"/>
      </w:pPr>
      <w:r>
        <w:rPr>
          <w:b/>
        </w:rPr>
        <w:t xml:space="preserve">Estimated acceptance after revisions at RMJ: 45 to 60 percent.</w:t>
      </w:r>
      <w:r>
        <w:t xml:space="preserve"> Reasoned judgment, not</w:t>
      </w:r>
    </w:p>
    <w:p>
      <w:pPr>
        <w:spacing w:after="160" w:line="276" w:lineRule="auto"/>
      </w:pPr>
      <w:r>
        <w:t xml:space="preserve">measured. Raising it: a real-outcome corpus across three jurisdictional systems, a large</w:t>
      </w:r>
    </w:p>
    <w:p>
      <w:pPr>
        <w:spacing w:after="160" w:line="276" w:lineRule="auto"/>
      </w:pPr>
      <w:r>
        <w:t xml:space="preserve">effect, complete reporting of three codings including the null, a homogeneity test against</w:t>
      </w:r>
    </w:p>
    <w:p>
      <w:pPr>
        <w:spacing w:after="160" w:line="276" w:lineRule="auto"/>
      </w:pPr>
      <w:r>
        <w:t xml:space="preserve">a companion corpus, and a specified confirmatory design. Holding it down: n=22, one</w:t>
      </w:r>
    </w:p>
    <w:p>
      <w:pPr>
        <w:spacing w:after="160" w:line="276" w:lineRule="auto"/>
      </w:pPr>
      <w:r>
        <w:t xml:space="preserve">reviewer who also scored the outcomes, no pre-registration, small cells, no institutional</w:t>
      </w:r>
    </w:p>
    <w:p>
      <w:pPr>
        <w:spacing w:after="160" w:line="276" w:lineRule="auto"/>
      </w:pPr>
      <w:r>
        <w:t xml:space="preserve">affiliation.</w:t>
      </w:r>
    </w:p>
    <w:p>
      <w:pPr>
        <w:spacing w:after="160" w:line="276" w:lineRule="auto"/>
      </w:pPr>
      <w:r>
        <w:rPr>
          <w:b/>
        </w:rPr>
        <w:t xml:space="preserve">Two items unverified and not guessed.</w:t>
      </w:r>
      <w:r>
        <w:t xml:space="preserve"> RMJ's specific word ceiling and its current hybrid</w:t>
      </w:r>
    </w:p>
    <w:p>
      <w:pPr>
        <w:spacing w:after="160" w:line="276" w:lineRule="auto"/>
      </w:pPr>
      <w:r>
        <w:t xml:space="preserve">status: Emerald's author-guidelines pages return 403 to this environment. The manuscript is</w:t>
      </w:r>
    </w:p>
    <w:p>
      <w:pPr>
        <w:spacing w:after="160" w:line="276" w:lineRule="auto"/>
      </w:pPr>
      <w:r>
        <w:t xml:space="preserve">4,099 words, or </w:t>
      </w:r>
      <w:r>
        <w:rPr>
          <w:b/>
        </w:rPr>
        <w:t xml:space="preserve">4,659 by Emerald's counting rule</w:t>
      </w:r>
      <w:r>
        <w:t xml:space="preserve"> (abstract, references and table text,</w:t>
      </w:r>
    </w:p>
    <w:p>
      <w:pPr>
        <w:spacing w:after="160" w:line="276" w:lineRule="auto"/>
      </w:pPr>
      <w:r>
        <w:t xml:space="preserve">plus 280 per table). Confirm both on the journal page before submitting.</w:t>
      </w:r>
    </w:p>
    <w:p>
      <w:pPr>
        <w:pStyle w:val="Heading2"/>
        <w:spacing w:before="360" w:after="120"/>
      </w:pPr>
      <w:r>
        <w:t xml:space="preserve">4. Portfolio, so nothing collides</w:t>
      </w:r>
    </w:p>
    <w:p>
      <w:pPr>
        <w:spacing w:after="160" w:line="276" w:lineRule="auto"/>
      </w:pPr>
      <w:r>
        <w:t xml:space="preserve">| Piece | Venue | Status |</w:t>
      </w:r>
    </w:p>
    <w:p>
      <w:pPr>
        <w:spacing w:after="160" w:line="276" w:lineRule="auto"/>
      </w:pPr>
      <w:r>
        <w:t xml:space="preserve">|---|---|---|</w:t>
      </w:r>
    </w:p>
    <w:p>
      <w:pPr>
        <w:spacing w:after="160" w:line="276" w:lineRule="auto"/>
      </w:pPr>
      <w:r>
        <w:t xml:space="preserve">| "When the Record Cannot Speak for Itself" | CEP Magazine (SCCE) | </w:t>
      </w:r>
      <w:r>
        <w:rPr>
          <w:b/>
        </w:rPr>
        <w:t xml:space="preserve">ACCEPTED 2026-07-16, November issue, in copy-editing.</w:t>
      </w:r>
      <w:r>
        <w:t xml:space="preserve"> Phillip solo. Do not duplicate at Compliance Today (`MASTER_TRACKER.md:580`) |</w:t>
      </w:r>
    </w:p>
    <w:p>
      <w:pPr>
        <w:spacing w:after="160" w:line="276" w:lineRule="auto"/>
      </w:pPr>
      <w:r>
        <w:t xml:space="preserve">| Detection, international expert study | AI and Ethics | FINAL5, frozen |</w:t>
      </w:r>
    </w:p>
    <w:p>
      <w:pPr>
        <w:spacing w:after="160" w:line="276" w:lineRule="auto"/>
      </w:pPr>
      <w:r>
        <w:t xml:space="preserve">| Arm B / comparison | AI and Ethics | Collision noted at `Article1_Submission_Plan.md:38` |</w:t>
      </w:r>
    </w:p>
    <w:p>
      <w:pPr>
        <w:spacing w:after="160" w:line="276" w:lineRule="auto"/>
      </w:pPr>
      <w:r>
        <w:t xml:space="preserve">| Evidentiary Deficit (Colpan and Wikes) | Corporate Compliance Insights | Locked, blocked on headshots |</w:t>
      </w:r>
    </w:p>
    <w:p>
      <w:pPr>
        <w:spacing w:after="160" w:line="276" w:lineRule="auto"/>
      </w:pPr>
      <w:r>
        <w:t xml:space="preserve">| DRR as a record-level control | EDPACS, then ISACA, then RMJ, then BIR | Single-authored |</w:t>
      </w:r>
    </w:p>
    <w:p>
      <w:pPr>
        <w:spacing w:after="160" w:line="276" w:lineRule="auto"/>
      </w:pPr>
      <w:r>
        <w:t xml:space="preserve">| Rungs 1 and 2 | Journal of Responsible Technology | Per `Article1_Submission_Plan.md:42` |</w:t>
      </w:r>
    </w:p>
    <w:p>
      <w:pPr>
        <w:spacing w:after="160" w:line="276" w:lineRule="auto"/>
      </w:pPr>
      <w:r>
        <w:t xml:space="preserve">| Public records, Young first | Journal of Civic Information | Cited by this paper in 6.3 |</w:t>
      </w:r>
    </w:p>
    <w:p>
      <w:pPr>
        <w:spacing w:after="160" w:line="276" w:lineRule="auto"/>
      </w:pPr>
      <w:r>
        <w:t xml:space="preserve">| </w:t>
      </w:r>
      <w:r>
        <w:rPr>
          <w:b/>
        </w:rPr>
        <w:t xml:space="preserve">This paper</w:t>
      </w:r>
      <w:r>
        <w:t xml:space="preserve"> | </w:t>
      </w:r>
      <w:r>
        <w:rPr>
          <w:b/>
        </w:rPr>
        <w:t xml:space="preserve">Records Management Journal</w:t>
      </w:r>
      <w:r>
        <w:t xml:space="preserve"> | This memo |</w:t>
      </w:r>
    </w:p>
    <w:p>
      <w:pPr>
        <w:pStyle w:val="Heading2"/>
        <w:spacing w:before="360" w:after="120"/>
      </w:pPr>
      <w:r>
        <w:t xml:space="preserve">5. Order of operations</w:t>
      </w:r>
    </w:p>
    <w:p>
      <w:pPr>
        <w:ind w:left="360" w:hanging="360"/>
        <w:spacing w:after="60"/>
      </w:pPr>
      <w:r>
        <w:t xml:space="preserve">1. </w:t>
      </w:r>
      <w:r>
        <w:rPr>
          <w:b/>
        </w:rPr>
        <w:t xml:space="preserve">Ubayet Hossain, first and separately.</w:t>
      </w:r>
      <w:r>
        <w:t xml:space="preserve"> Tell him about the change from co-author to</w:t>
      </w:r>
    </w:p>
    <w:p>
      <w:pPr>
        <w:spacing w:after="160" w:line="276" w:lineRule="auto"/>
      </w:pPr>
      <w:r>
        <w:t xml:space="preserve">   Contributor yourself, before he sees the title page. Then confirm Section 4 represents</w:t>
      </w:r>
    </w:p>
    <w:p>
      <w:pPr>
        <w:spacing w:after="160" w:line="276" w:lineRule="auto"/>
      </w:pPr>
      <w:r>
        <w:t xml:space="preserve">   his methodology accurately, including the new condition-level agreement figures.</w:t>
      </w:r>
    </w:p>
    <w:p>
      <w:pPr>
        <w:ind w:left="360" w:hanging="360"/>
        <w:spacing w:after="60"/>
      </w:pPr>
      <w:r>
        <w:t xml:space="preserve">2. </w:t>
      </w:r>
      <w:r>
        <w:rPr>
          <w:b/>
        </w:rPr>
        <w:t xml:space="preserve">Tanvi Pokhriyal.</w:t>
      </w:r>
      <w:r>
        <w:t xml:space="preserve"> Send `Email_Tanvi_Pokhriyal_2026-08-21.md`. It asks for her printed</w:t>
      </w:r>
    </w:p>
    <w:p>
      <w:pPr>
        <w:spacing w:after="160" w:line="276" w:lineRule="auto"/>
      </w:pPr>
      <w:r>
        <w:t xml:space="preserve">   name, confirmation of Sections 5.1 and 5.2, both declarations, and her agreement to first</w:t>
      </w:r>
    </w:p>
    <w:p>
      <w:pPr>
        <w:spacing w:after="160" w:line="276" w:lineRule="auto"/>
      </w:pPr>
      <w:r>
        <w:t xml:space="preserve">   authorship, in one reply.</w:t>
      </w:r>
    </w:p>
    <w:p>
      <w:pPr>
        <w:ind w:left="360" w:hanging="360"/>
        <w:spacing w:after="60"/>
      </w:pPr>
      <w:r>
        <w:t xml:space="preserve">3. </w:t>
      </w:r>
      <w:r>
        <w:rPr>
          <w:b/>
        </w:rPr>
        <w:t xml:space="preserve">Kyle McMullan.</w:t>
      </w:r>
      <w:r>
        <w:t xml:space="preserve"> Send `Email_Kyle_McMullan_2026-08-21.md`. It asks for his printed</w:t>
      </w:r>
    </w:p>
    <w:p>
      <w:pPr>
        <w:spacing w:after="160" w:line="276" w:lineRule="auto"/>
      </w:pPr>
      <w:r>
        <w:t xml:space="preserve">   name, his 6.4 pass, his optional de-identified examples, and both declarations, in one</w:t>
      </w:r>
    </w:p>
    <w:p>
      <w:pPr>
        <w:spacing w:after="160" w:line="276" w:lineRule="auto"/>
      </w:pPr>
      <w:r>
        <w:t xml:space="preserve">   reply. His authorship condition is that pass (`BusinessEthics_Article_Draft.md:9`).</w:t>
      </w:r>
    </w:p>
    <w:p>
      <w:pPr>
        <w:ind w:left="360" w:hanging="360"/>
        <w:spacing w:after="60"/>
      </w:pPr>
      <w:r>
        <w:t xml:space="preserve">4. Replace the `[REQUIRED_ENV_PARAM]` block with their own words. Do not write it for them.</w:t>
      </w:r>
    </w:p>
    <w:p>
      <w:pPr>
        <w:ind w:left="360" w:hanging="360"/>
        <w:spacing w:after="60"/>
      </w:pPr>
      <w:r>
        <w:t xml:space="preserve">5. Confirm RMJ's word ceiling and hybrid status.</w:t>
      </w:r>
    </w:p>
    <w:p>
      <w:pPr>
        <w:ind w:left="360" w:hanging="360"/>
        <w:spacing w:after="60"/>
      </w:pPr>
      <w:r>
        <w:t xml:space="preserve">6. Submit.</w:t>
      </w:r>
    </w:p>
    <w:p>
      <w:pPr>
        <w:pStyle w:val="Heading2"/>
        <w:spacing w:before="360" w:after="120"/>
      </w:pPr>
      <w:r>
        <w:t xml:space="preserve">6. What a reviewer will attack, and the answer</w:t>
      </w:r>
    </w:p>
    <w:p>
      <w:pPr>
        <w:spacing w:after="160" w:line="276" w:lineRule="auto"/>
      </w:pPr>
      <w:r>
        <w:rPr>
          <w:b/>
        </w:rPr>
        <w:t xml:space="preserve">"Your reviewer scored her own outcomes."</w:t>
      </w:r>
      <w:r>
        <w:t xml:space="preserve"> Concede at once. Disclosed in 5.1, in 7, and</w:t>
      </w:r>
    </w:p>
    <w:p>
      <w:pPr>
        <w:spacing w:after="160" w:line="276" w:lineRule="auto"/>
      </w:pPr>
      <w:r>
        <w:t xml:space="preserve">corrected as requirement one of the Section 8 design. Do not defend it.</w:t>
      </w:r>
    </w:p>
    <w:p>
      <w:pPr>
        <w:spacing w:after="160" w:line="276" w:lineRule="auto"/>
      </w:pPr>
      <w:r>
        <w:rPr>
          <w:b/>
        </w:rPr>
        <w:t xml:space="preserve">"You chose the coding that worked."</w:t>
      </w:r>
      <w:r>
        <w:t xml:space="preserve"> The paper says so itself, in Section 5.2 and again</w:t>
      </w:r>
    </w:p>
    <w:p>
      <w:pPr>
        <w:spacing w:after="160" w:line="276" w:lineRule="auto"/>
      </w:pPr>
      <w:r>
        <w:t xml:space="preserve">in Section 9. All three codings are reported with equal standing and the null is among</w:t>
      </w:r>
    </w:p>
    <w:p>
      <w:pPr>
        <w:spacing w:after="160" w:line="276" w:lineRule="auto"/>
      </w:pPr>
      <w:r>
        <w:t xml:space="preserve">them. That disclosure is worth more than the p-value it costs.</w:t>
      </w:r>
    </w:p>
    <w:p>
      <w:pPr>
        <w:spacing w:after="160" w:line="276" w:lineRule="auto"/>
      </w:pPr>
      <w:r>
        <w:rPr>
          <w:b/>
        </w:rPr>
        <w:t xml:space="preserve">"Your companion corpus found nothing."</w:t>
      </w:r>
      <w:r>
        <w:t xml:space="preserve"> Section 6.3 is the answer and the Woolf test was</w:t>
      </w:r>
    </w:p>
    <w:p>
      <w:pPr>
        <w:spacing w:after="160" w:line="276" w:lineRule="auto"/>
      </w:pPr>
      <w:r>
        <w:t xml:space="preserve">run before the section was written, not after: Q = 2.550 on 1 df, p = 0.110. The two</w:t>
      </w:r>
    </w:p>
    <w:p>
      <w:pPr>
        <w:spacing w:after="160" w:line="276" w:lineRule="auto"/>
      </w:pPr>
      <w:r>
        <w:t xml:space="preserve">corpora are statistically consistent. **A null in a companion study, reported and explained,</w:t>
      </w:r>
    </w:p>
    <w:p>
      <w:pPr>
        <w:spacing w:after="160" w:line="276" w:lineRule="auto"/>
      </w:pPr>
      <w:r>
        <w:t xml:space="preserve">is a strength here rather than a liability.**</w:t>
      </w:r>
    </w:p>
    <w:p>
      <w:pPr>
        <w:spacing w:after="160" w:line="276" w:lineRule="auto"/>
      </w:pPr>
      <w:r>
        <w:rPr>
          <w:b/>
        </w:rPr>
        <w:t xml:space="preserve">"Reliability is below your own floor at condition level."</w:t>
      </w:r>
      <w:r>
        <w:t xml:space="preserve"> Conceded in Section 4 in</w:t>
      </w:r>
    </w:p>
    <w:p>
      <w:pPr>
        <w:spacing w:after="160" w:line="276" w:lineRule="auto"/>
      </w:pPr>
      <w:r>
        <w:t xml:space="preserve">terms. The determination agrees better than any single condition composing it, no claim of</w:t>
      </w:r>
    </w:p>
    <w:p>
      <w:pPr>
        <w:spacing w:after="160" w:line="276" w:lineRule="auto"/>
      </w:pPr>
      <w:r>
        <w:t xml:space="preserve">separate condition reliability is made, and the earlier per-condition discrimination</w:t>
      </w:r>
    </w:p>
    <w:p>
      <w:pPr>
        <w:spacing w:after="160" w:line="276" w:lineRule="auto"/>
      </w:pPr>
      <w:r>
        <w:t xml:space="preserve">analysis is explicitly withdrawn as circular.</w:t>
      </w:r>
    </w:p>
    <w:p>
      <w:pPr>
        <w:pStyle w:val="Heading2"/>
        <w:spacing w:before="360" w:after="120"/>
      </w:pPr>
      <w:r>
        <w:t xml:space="preserve">7. Do not</w:t>
      </w:r>
    </w:p>
    <w:p>
      <w:pPr>
        <w:spacing w:after="160" w:line="276" w:lineRule="auto"/>
      </w:pPr>
      <w:r>
        <w:t xml:space="preserve">- Do not put the venue back into the manuscript.</w:t>
      </w:r>
    </w:p>
    <w:p>
      <w:pPr>
        <w:spacing w:after="160" w:line="276" w:lineRule="auto"/>
      </w:pPr>
      <w:r>
        <w:t xml:space="preserve">- Do not restore the withdrawn per-condition analysis.</w:t>
      </w:r>
    </w:p>
    <w:p>
      <w:pPr>
        <w:spacing w:after="160" w:line="276" w:lineRule="auto"/>
      </w:pPr>
      <w:r>
        <w:t xml:space="preserve">- Do not add Stacyann Young to this paper.</w:t>
      </w:r>
    </w:p>
    <w:p>
      <w:pPr>
        <w:spacing w:after="160" w:line="276" w:lineRule="auto"/>
      </w:pPr>
      <w:r>
        <w:t xml:space="preserve">- Do not move Hossain to Contributor on the title page before he has been told directly.</w:t>
      </w:r>
    </w:p>
    <w:p>
      <w:pPr>
        <w:spacing w:after="160" w:line="276" w:lineRule="auto"/>
      </w:pPr>
      <w:r>
        <w:t xml:space="preserve">- Do not reopen the pilot to reach 30 cases. It closed at 22 on 29 July and adding cases</w:t>
      </w:r>
    </w:p>
    <w:p>
      <w:pPr>
        <w:spacing w:after="160" w:line="276" w:lineRule="auto"/>
      </w:pPr>
      <w:r>
        <w:t xml:space="preserve">  after the analysis is known is a worse defect than n=22.</w:t>
      </w:r>
    </w:p>
    <w:p>
      <w:pPr>
        <w:spacing w:after="160" w:line="276" w:lineRule="auto"/>
      </w:pPr>
      <w:r>
        <w:t xml:space="preserve">- Do not submit this and the EDPACS piece to Records Management Journal.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/>
        <w:sz w:val="22"/>
      </w:rPr>
    </w:rPrDefault>
  </w:docDefaults>
  <w:style w:type="paragraph" w:styleId="Heading1">
    <w:name w:val="heading 1"/>
    <w:rPr>
      <w:rFonts w:ascii="Georgia" w:hAnsi="Georgia"/>
      <w:b/>
      <w:sz w:val="34"/>
    </w:rPr>
  </w:style>
  <w:style w:type="paragraph" w:styleId="Heading2">
    <w:name w:val="heading 2"/>
    <w:rPr>
      <w:rFonts w:ascii="Georgia" w:hAnsi="Georgia"/>
      <w:b/>
      <w:sz w:val="26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