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after="140"/>
      </w:pPr>
      <w:r>
        <w:t xml:space="preserve">Can the Basis Be Rebuilt? A Record-Level Documentation Quality Review of 32 Public-Records Cases</w:t>
      </w:r>
    </w:p>
    <w:p w14:paraId="77BAF8B0" w14:textId="77777777" w:rsidR="0019445B" w:rsidRDefault="00000000">
      <w:pPr>
        <w:spacing w:after="140"/>
      </w:pPr>
      <w:r>
        <w:rPr>
          <w:b/>
        </w:rPr>
        <w:t>Stacyann Young</w:t>
      </w:r>
      <w:r>
        <w:t xml:space="preserve"> Independent Researcher</w:t>
      </w:r>
    </w:p>
    <w:p w14:paraId="5AE35F6A" w14:textId="77777777" w:rsidR="0019445B" w:rsidRDefault="00000000">
      <w:pPr>
        <w:spacing w:after="140"/>
      </w:pPr>
      <w:r>
        <w:rPr>
          <w:b/>
        </w:rPr>
        <w:t>Phillip Wikes</w:t>
      </w:r>
      <w:r>
        <w:t xml:space="preserve"> Creator of the Justification Review Standard; former Lead Civil Rights Officer, Maryland Commission on Civil Rights</w:t>
      </w:r>
    </w:p>
    <w:p w14:paraId="5FD03980" w14:textId="77777777" w:rsidR="0019445B" w:rsidRDefault="00000000">
      <w:pPr>
        <w:spacing w:after="140"/>
      </w:pPr>
      <w:r>
        <w:rPr>
          <w:b/>
        </w:rPr>
        <w:t>Author contributions.</w:t>
      </w:r>
      <w:r>
        <w:t xml:space="preserve">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14:paraId="523AD517" w14:textId="77777777" w:rsidR="0019445B" w:rsidRDefault="00000000">
      <w:pPr>
        <w:spacing w:after="140"/>
      </w:pPr>
      <w:r>
        <w:rPr>
          <w:b/>
        </w:rPr>
        <w:t>Disclosure.</w:t>
      </w:r>
      <w:r>
        <w:t xml:space="preserv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14:paraId="360DBB48" w14:textId="77777777" w:rsidR="0019445B" w:rsidRDefault="0019445B">
      <w:pPr>
        <w:pBdr>
          <w:bottom w:val="single" w:sz="6" w:space="1" w:color="AAAAAA"/>
        </w:pBdr>
      </w:pPr>
    </w:p>
    <w:p w14:paraId="47D69086" w14:textId="77777777" w:rsidR="0019445B" w:rsidRDefault="00000000">
      <w:pPr>
        <w:pStyle w:val="Heading2"/>
        <w:spacing w:after="140"/>
      </w:pPr>
      <w:r>
        <w:t>Abstract</w:t>
      </w:r>
    </w:p>
    <w:p>
      <w:pPr>
        <w:spacing w:after="140"/>
      </w:pPr>
      <w:r>
        <w:t xml:space="preserve">Purpose. Consequential records are often reviewed after the fact by people who did not participate in the original decision. Their ability to assess the decision depends on whether the record preserves enough information to reconstruct its basis. This study examines whether a structured, record-level documentation quality read can identify differences in that reconstructability.</w:t>
      </w:r>
    </w:p>
    <w:p>
      <w:pPr>
        <w:spacing w:after="140"/>
      </w:pPr>
      <w:r>
        <w:t xml:space="preserve">Design/methodology/approach. A three-level read, Ready, Needs work or Gap, was applied to 32 publicly available public-records cases from 32 distinct sources across four document classes and two states, issued between 2005 and 2026. The read and a contemporaneous note explaining its basis were recorded from the source before the documented outcome was consulted. Ten cases were independently re-read.</w:t>
      </w:r>
    </w:p>
    <w:p>
      <w:pPr>
        <w:spacing w:after="140"/>
      </w:pPr>
      <w:r>
        <w:t xml:space="preserve">Findings. The read corresponded with independent government audit findings in all five cases where comparable audit assessments were available. It was associated with reconstructability as reflected in contemporaneous basis notes: six of seven noted Needs work cases recorded that the basis could not be rebuilt, compared with none of 17 noted Ready cases (p = 0.0000520). The read also distinguished document classes according to the extent to which the underlying basis was exposed (p = 0.00466). It was not associated with appellate outcome in the resolved subset (p = 1.000), consistent with reconstructability and appellate disposition representing different properties.</w:t>
      </w:r>
    </w:p>
    <w:p>
      <w:pPr>
        <w:spacing w:after="140"/>
      </w:pPr>
      <w:r>
        <w:t xml:space="preserve">Research limitations/implications. The corpus is small, non-random and limited to two jurisdictions. Reliability evidence is preliminary because only 10 cases received an independent blind re-read.</w:t>
      </w:r>
    </w:p>
    <w:p>
      <w:pPr>
        <w:spacing w:after="140"/>
      </w:pPr>
      <w:r>
        <w:t xml:space="preserve">Practical implications. The findings suggest that reconstructability can be examined at the record level before a consequential record is finalised. A structured review that records both the assessment and its basis may provide an additional quality-assurance mechanism for records subject to later audit, review or challenge.</w:t>
      </w:r>
    </w:p>
    <w:p>
      <w:pPr>
        <w:spacing w:after="140"/>
      </w:pPr>
      <w:r>
        <w:t xml:space="preserve">Originality/value. The study provides an initial empirical examination of a structured record-level approach to assessing whether the basis for a consequential decision remains independently reconstructable from the record itself.</w:t>
      </w:r>
    </w:p>
    <w:p>
      <w:pPr>
        <w:spacing w:after="140"/>
      </w:pPr>
      <w:r>
        <w:t xml:space="preserve">Keywords: Records management; information governance; documentation quality; public records; recordkeeping evidence; decision reconstructability</w:t>
      </w:r>
    </w:p>
    <w:p w14:paraId="677BF42E" w14:textId="05796066" w:rsidR="00062F79" w:rsidRDefault="00062F79" w:rsidP="00062F79">
      <w:pPr>
        <w:keepNext/>
        <w:spacing w:after="140"/>
        <w:jc w:val="center"/>
      </w:pPr>
      <w:r>
        <w:rPr>
          <w:noProof/>
        </w:rPr>
        <w:drawing>
          <wp:inline distT="0" distB="0" distL="0" distR="0" wp14:anchorId="1C73DA5C" wp14:editId="68FA290C">
            <wp:extent cx="3517900" cy="2289640"/>
            <wp:effectExtent l="0" t="0" r="0" b="0"/>
            <wp:docPr id="10083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8268" name="Picture 1008388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6665" cy="2340904"/>
                    </a:xfrm>
                    <a:prstGeom prst="rect">
                      <a:avLst/>
                    </a:prstGeom>
                  </pic:spPr>
                </pic:pic>
              </a:graphicData>
            </a:graphic>
          </wp:inline>
        </w:drawing>
      </w:r>
    </w:p>
    <w:p>
      <w:pPr>
        <w:spacing w:before="60" w:after="240"/>
        <w:jc w:val="center"/>
      </w:pPr>
      <w:r>
        <w:rPr>
          <w:b/>
          <w:sz w:val="20"/>
          <w:szCs w:val="20"/>
        </w:rPr>
        <w:t xml:space="preserve">Figure 1. Overview of the 32-case study and documentation-read outcomes. </w:t>
      </w:r>
      <w:r>
        <w:rPr>
          <w:sz w:val="20"/>
          <w:szCs w:val="20"/>
        </w:rPr>
        <w:t xml:space="preserve">The study examined 32 publicly available cases across four document classes using the three-level documentation read of Ready, Needs work, and Gap.</w:t>
      </w:r>
    </w:p>
    <w:p>
      <w:pPr>
        <w:spacing w:after="140"/>
      </w:pPr>
      <w:r>
        <w:t xml:space="preserve">The blind second read, its per-case answers and every coefficient reported in Section 6.7 are held in Blind_Recheck_RESULT_2026-08-28.json, computed from the reviewer's recorded answers and the original reads by a standard-library script with no external dependency.</w:t>
      </w:r>
    </w:p>
    <w:p w14:paraId="3BE0A9D6" w14:textId="77777777" w:rsidR="0019445B" w:rsidRDefault="0019445B">
      <w:pPr>
        <w:pBdr>
          <w:bottom w:val="single" w:sz="6" w:space="1" w:color="AAAAAA"/>
        </w:pBdr>
      </w:pPr>
    </w:p>
    <w:p>
      <w:pPr>
        <w:pStyle w:val="Heading2"/>
        <w:spacing w:after="140"/>
      </w:pPr>
      <w:r>
        <w:t xml:space="preserve">1. The governance problem</w:t>
      </w:r>
    </w:p>
    <w:p>
      <w:pPr>
        <w:spacing w:after="140"/>
      </w:pPr>
      <w:r>
        <w:t xml:space="preserve">A consequential record is often examined by someone who was not present when the underlying decision was made. On appeal, in audit, during investigation, or in later review, that person must work from the record available to them. The record therefore carries more than the decision itself. It carries the basis by which the decision can later be understood, examined and, where necessary, defended.</w:t>
      </w:r>
    </w:p>
    <w:p>
      <w:pPr>
        <w:spacing w:after="140"/>
      </w:pPr>
      <w:r>
        <w:t xml:space="preserve">Records and information governance provides established approaches to retention, classification, access, disposal and preservation. A separate question arises at the level of the individual consequential record: whether the record preserves enough evidentiary and decision-process information for an independent reviewer to reconstruct how the conclusion was reached.</w:t>
      </w:r>
    </w:p>
    <w:p>
      <w:pPr>
        <w:spacing w:after="140"/>
      </w:pPr>
      <w:r>
        <w:t xml:space="preserve">Completeness alone does not answer that question. A record may contain the required fields, follow an approved format and read as complete while still leaving the later reviewer unable to determine what evidence supported a conclusion, how the relevant information was interpreted, or why one outcome was reached rather than another.</w:t>
      </w:r>
    </w:p>
    <w:p>
      <w:pPr>
        <w:spacing w:after="140"/>
      </w:pPr>
      <w:r>
        <w:t xml:space="preserve">This study examines that problem through public-records determinations. Public-records material provides a useful test corpus because decisions and audits are publicly available, some of the same programmes have been assessed independently, and documented outcomes permit examination of whether reconstructability is distinct from substantive outcome.</w:t>
      </w:r>
    </w:p>
    <w:p>
      <w:pPr>
        <w:spacing w:after="140"/>
      </w:pPr>
      <w:r>
        <w:t xml:space="preserve">The broader question is not limited to freedom of information. It concerns the evidentiary quality of consequential records that must remain understandable and reviewable after the original decision-maker is no longer available.</w:t>
      </w:r>
    </w:p>
    <w:p w14:paraId="34E03921" w14:textId="77777777" w:rsidR="0019445B" w:rsidRDefault="00000000">
      <w:pPr>
        <w:pStyle w:val="Heading2"/>
        <w:spacing w:after="140"/>
      </w:pPr>
      <w:r>
        <w:t>2. Introduction</w:t>
      </w:r>
    </w:p>
    <w:p w14:paraId="29855B16" w14:textId="77777777" w:rsidR="0019445B" w:rsidRDefault="00000000">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w:t>
      </w:r>
      <w:proofErr w:type="gramStart"/>
      <w:r>
        <w:t>actually did</w:t>
      </w:r>
      <w:proofErr w:type="gramEnd"/>
      <w:r>
        <w:t xml:space="preserve"> when someone asks.</w:t>
      </w:r>
    </w:p>
    <w:p w14:paraId="7C04270B" w14:textId="5258BC5F" w:rsidR="0019445B" w:rsidRDefault="00000000">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w:t>
      </w:r>
      <w:proofErr w:type="spellStart"/>
      <w:r>
        <w:t>unreconstructable</w:t>
      </w:r>
      <w:proofErr w:type="spellEnd"/>
      <w:r>
        <w:t xml:space="preserve"> determinations does not, by itself, establish that the resulting records are defensible.</w:t>
      </w:r>
    </w:p>
    <w:p>
      <w:pPr>
        <w:spacing w:after="140"/>
      </w:pPr>
      <w:r>
        <w:t xml:space="preserve">Existing records and information governance controls do not necessarily assess this property at the level of an individual consequential record. Two agencies can run the same case-management system and produce determinations of very different defensibility. This pilot examines whether a structured record-level read can do so.</w:t>
      </w:r>
    </w:p>
    <w:p w14:paraId="21722D3B" w14:textId="77777777" w:rsidR="0019445B" w:rsidRDefault="00000000">
      <w:pPr>
        <w:pStyle w:val="Heading2"/>
        <w:spacing w:after="140"/>
      </w:pPr>
      <w:r>
        <w:t>3. Research questions</w:t>
      </w:r>
    </w:p>
    <w:p w14:paraId="343E0674" w14:textId="77777777" w:rsidR="0019445B" w:rsidRDefault="00000000">
      <w:pPr>
        <w:numPr>
          <w:ilvl w:val="0"/>
          <w:numId w:val="3"/>
        </w:numPr>
        <w:spacing w:after="60"/>
      </w:pPr>
      <w:r>
        <w:t>Can the review conditions be applied to real public-records material across document classes and jurisdictions, and do they produce a full range of reads?</w:t>
      </w:r>
    </w:p>
    <w:p w14:paraId="4A8A57B2" w14:textId="77777777" w:rsidR="0019445B" w:rsidRDefault="00000000">
      <w:pPr>
        <w:numPr>
          <w:ilvl w:val="0"/>
          <w:numId w:val="3"/>
        </w:numPr>
        <w:spacing w:after="60"/>
      </w:pPr>
      <w:r>
        <w:t>Where an independent government auditor has assessed the sufficiency of the same records, does the read agree?</w:t>
      </w:r>
    </w:p>
    <w:p w14:paraId="38533369" w14:textId="77777777" w:rsidR="0019445B" w:rsidRDefault="00000000">
      <w:pPr>
        <w:numPr>
          <w:ilvl w:val="0"/>
          <w:numId w:val="3"/>
        </w:numPr>
        <w:spacing w:after="60"/>
      </w:pPr>
      <w:r>
        <w:t>What drives the read, and is it the property the instrument claims to measure?</w:t>
      </w:r>
    </w:p>
    <w:p w14:paraId="6AE824A0" w14:textId="77777777" w:rsidR="0019445B" w:rsidRDefault="00000000">
      <w:pPr>
        <w:pStyle w:val="Heading2"/>
        <w:spacing w:after="140"/>
      </w:pPr>
      <w:r>
        <w:lastRenderedPageBreak/>
        <w:t>4. The instrument</w:t>
      </w:r>
    </w:p>
    <w:p w14:paraId="66D1F407" w14:textId="77777777" w:rsidR="0019445B" w:rsidRDefault="00000000">
      <w:pPr>
        <w:spacing w:after="140"/>
      </w:pPr>
      <w:r>
        <w:t xml:space="preserve">The Justification Review Standard (JRS) asks one question of a record: can a later, independent reviewer rebuild how the conclusion was reached from the record alone? Five conditions carry that question. </w:t>
      </w:r>
      <w:proofErr w:type="spellStart"/>
      <w:r>
        <w:t>Reconstructability</w:t>
      </w:r>
      <w:proofErr w:type="spellEnd"/>
      <w:r>
        <w:t>,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14:paraId="1F8B8B95" w14:textId="77777777" w:rsidR="0019445B" w:rsidRDefault="00000000">
      <w:pPr>
        <w:spacing w:after="140"/>
      </w:pPr>
      <w:r>
        <w:t xml:space="preserve">The conditions resolve to a three-level read. Ready, where a later reviewer could rebuild the conclusion from the record alone. Needs work, where the record is partly </w:t>
      </w:r>
      <w:proofErr w:type="spellStart"/>
      <w:r>
        <w:t>reconstructable</w:t>
      </w:r>
      <w:proofErr w:type="spellEnd"/>
      <w:r>
        <w:t xml:space="preserve"> and some basis is visible with gaps. Gap, where the basis is not visible in the record at all.</w:t>
      </w:r>
    </w:p>
    <w:p w14:paraId="4776A134" w14:textId="77777777" w:rsidR="0019445B" w:rsidRDefault="00000000">
      <w:pPr>
        <w:spacing w:after="140"/>
      </w:pPr>
      <w:r>
        <w:t>The risk the standard names is Decision Reconstruction Risk: the condition in which a record cannot, on its own terms, let an independent reviewer rebuild the basis for a consequential decision.</w:t>
      </w:r>
    </w:p>
    <w:p w14:paraId="2D132C12" w14:textId="77777777" w:rsidR="0019445B" w:rsidRDefault="00000000">
      <w:pPr>
        <w:pStyle w:val="Heading2"/>
        <w:spacing w:after="140"/>
      </w:pPr>
      <w:r>
        <w:t>5. Methods</w:t>
      </w:r>
    </w:p>
    <w:p w14:paraId="538E82C2" w14:textId="77777777" w:rsidR="0019445B" w:rsidRDefault="00000000">
      <w:pPr>
        <w:pStyle w:val="Heading3"/>
        <w:spacing w:after="140"/>
      </w:pPr>
      <w:r>
        <w:t>5.1 Design</w:t>
      </w:r>
    </w:p>
    <w:p>
      <w:pPr>
        <w:spacing w:after="140"/>
      </w:pPr>
      <w:r>
        <w:t xml:space="preserve">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6.3 possible.</w:t>
      </w:r>
    </w:p>
    <w:p w14:paraId="022B383D" w14:textId="77777777" w:rsidR="0019445B" w:rsidRDefault="00000000">
      <w:pPr>
        <w:pStyle w:val="Heading3"/>
        <w:spacing w:after="140"/>
      </w:pPr>
      <w:r>
        <w:t>5.2 Materials</w:t>
      </w:r>
    </w:p>
    <w:p w14:paraId="4F192E49" w14:textId="77777777" w:rsidR="0019445B" w:rsidRDefault="00000000">
      <w:pPr>
        <w:spacing w:after="140"/>
      </w:pPr>
      <w:r>
        <w:rPr>
          <w:b/>
        </w:rPr>
        <w:t>Public material only.</w:t>
      </w:r>
      <w:r>
        <w:t xml:space="preserve"> Each case was de-identified as to any private individual, and each case carries a public citation or source URL. No internal, confidential, privileged, or otherwise nonpublic government material was used.</w:t>
      </w:r>
    </w:p>
    <w:p w14:paraId="14119438" w14:textId="77777777" w:rsidR="0019445B" w:rsidRDefault="00000000">
      <w:pPr>
        <w:pStyle w:val="Heading3"/>
        <w:spacing w:after="140"/>
      </w:pPr>
      <w:r>
        <w:t>5.3 Sample</w:t>
      </w:r>
    </w:p>
    <w:p w14:paraId="016FEFD4" w14:textId="77777777" w:rsidR="0019445B" w:rsidRDefault="00000000">
      <w:pPr>
        <w:spacing w:after="140"/>
      </w:pPr>
      <w:r>
        <w:t>The stated target was 20 to 30 cases with a deliberate spread of outcomes. The achieved sample is 32 cases from 32 distinct public sources, collected 26 June to 8 August 2026, spanning decisions issued between 2005 and 2026 across eleven distinct years.</w:t>
      </w:r>
    </w:p>
    <w:p w14:paraId="3E50566E" w14:textId="77777777" w:rsidR="0019445B" w:rsidRDefault="00000000">
      <w:pPr>
        <w:spacing w:after="140"/>
      </w:pPr>
      <w:r>
        <w:t xml:space="preserve">Four document classes are represented: New York appellate and trial-level decisions (n = 18); New York Committee on Open Government advisory opinions (n = 7); Connecticut Freedom of </w:t>
      </w:r>
      <w:r>
        <w:lastRenderedPageBreak/>
        <w:t>Information Commission final decisions (n = 2); and compliance audits issued by the New York State Comptroller and the New York City Comptroller (n = 5).</w:t>
      </w:r>
    </w:p>
    <w:p w14:paraId="2B109F91" w14:textId="77777777" w:rsidR="0019445B" w:rsidRDefault="00000000">
      <w:pPr>
        <w:spacing w:after="140"/>
      </w:pPr>
      <w:r>
        <w:t>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14:paraId="37C6484E" w14:textId="77777777" w:rsidR="0019445B" w:rsidRDefault="00000000">
      <w:pPr>
        <w:pStyle w:val="Heading3"/>
        <w:spacing w:after="140"/>
      </w:pPr>
      <w:r>
        <w:t>5.4 Outcome coding</w:t>
      </w:r>
    </w:p>
    <w:p w14:paraId="4CD0AEE1" w14:textId="77777777" w:rsidR="0019445B" w:rsidRDefault="00000000">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w:t>
      </w:r>
      <w:proofErr w:type="gramStart"/>
      <w:r>
        <w:t>traces</w:t>
      </w:r>
      <w:proofErr w:type="gramEnd"/>
      <w:r>
        <w:t xml:space="preserve"> to the public record.</w:t>
      </w:r>
    </w:p>
    <w:p w14:paraId="7CD1BFB5" w14:textId="77777777" w:rsidR="0019445B" w:rsidRDefault="00000000">
      <w:pPr>
        <w:pStyle w:val="Heading3"/>
        <w:spacing w:after="140"/>
      </w:pPr>
      <w:r>
        <w:t>5.5 Analyses</w:t>
      </w:r>
    </w:p>
    <w:p w14:paraId="15B47805" w14:textId="77777777" w:rsidR="0019445B" w:rsidRDefault="00000000">
      <w:pPr>
        <w:spacing w:after="140"/>
      </w:pPr>
      <w:r>
        <w:t>Five analyses, in the order reported.</w:t>
      </w:r>
    </w:p>
    <w:p w14:paraId="476D15A2" w14:textId="77777777" w:rsidR="0019445B" w:rsidRDefault="00000000">
      <w:pPr>
        <w:spacing w:after="140"/>
      </w:pPr>
      <w:r>
        <w:t>Convergent validity compares the read against the independent government auditor's own conclusion in the subset where an auditor examined the same agency's records. This is a concordance count rather than a significance test, because the comparison is between two instruments and not between groups.</w:t>
      </w:r>
    </w:p>
    <w:p w14:paraId="3EE3BC12" w14:textId="77777777" w:rsidR="0019445B" w:rsidRDefault="00000000">
      <w:pPr>
        <w:spacing w:after="140"/>
      </w:pPr>
      <w:r>
        <w:t>Construct validity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Association with the read is tested with Fisher's exact test.</w:t>
      </w:r>
    </w:p>
    <w:p w14:paraId="41B2DEAC" w14:textId="77777777" w:rsidR="0019445B" w:rsidRDefault="00000000">
      <w:pPr>
        <w:spacing w:after="140"/>
      </w:pPr>
      <w:r>
        <w:t>Discriminant validity tests the read against document class, using a structural variable rather than the reviewer's own words: whether the source reproduces the determination text or instead assessed the underlying records in camera or in aggregate.</w:t>
      </w:r>
    </w:p>
    <w:p w14:paraId="0615480D" w14:textId="77777777" w:rsidR="0019445B" w:rsidRDefault="00000000">
      <w:pPr>
        <w:spacing w:after="140"/>
      </w:pPr>
      <w:r>
        <w:t>The specification check tests the read against appellate disposition. Cases where the source records no resolved disposition are excluded rather than assigned one.</w:t>
      </w:r>
    </w:p>
    <w:p w14:paraId="7979CCD9" w14:textId="77777777" w:rsidR="0019445B" w:rsidRDefault="00000000">
      <w:pPr>
        <w:spacing w:after="140"/>
      </w:pPr>
      <w:r>
        <w:t>All 32 reads were recorded by a single domain reviewer, who also recorded the outcomes, so the reads are not independent of the person assigning the outcome. Section 7 treats that as a limitation.</w:t>
      </w:r>
    </w:p>
    <w:p w14:paraId="50B48E87" w14:textId="77777777" w:rsidR="0019445B" w:rsidRDefault="00000000">
      <w:pPr>
        <w:pStyle w:val="Heading3"/>
        <w:spacing w:after="140"/>
      </w:pPr>
      <w:r>
        <w:t>5.6 Blind second read</w:t>
      </w:r>
    </w:p>
    <w:p w14:paraId="39CCA7E3" w14:textId="77777777" w:rsidR="0019445B" w:rsidRDefault="00000000">
      <w:pPr>
        <w:spacing w:after="140"/>
      </w:pPr>
      <w:r>
        <w:t xml:space="preserve">To estimate reader dependence, 10 of the 32 cases were re-read by an independent reviewer with no connection to the study and no prior familiarity with the instrument, who recorded his own </w:t>
      </w:r>
      <w:r>
        <w:lastRenderedPageBreak/>
        <w:t>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14:paraId="7B5176F1" w14:textId="77777777" w:rsidR="0019445B" w:rsidRDefault="00000000">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w:t>
      </w:r>
      <w:proofErr w:type="gramStart"/>
      <w:r>
        <w:t>none, and</w:t>
      </w:r>
      <w:proofErr w:type="gramEnd"/>
      <w:r>
        <w:t xml:space="preserve"> recorded that he knew the documented outcome in 0 of the 10 cases. Agreement was computed after his answers were received, against reads recorded between 26 June and 8 August 2026 and unchanged since. All figures are computed from the stored data by a standard-library script, cited in the data-availability statement, which also carries the note-coding frame case by case.</w:t>
      </w:r>
    </w:p>
    <w:p w14:paraId="7F4D06B0" w14:textId="77777777" w:rsidR="0019445B" w:rsidRDefault="00000000">
      <w:pPr>
        <w:pStyle w:val="Heading2"/>
        <w:spacing w:after="140"/>
      </w:pPr>
      <w:r>
        <w:t>6. Results</w:t>
      </w:r>
    </w:p>
    <w:p w14:paraId="490699FA" w14:textId="77777777" w:rsidR="0019445B" w:rsidRDefault="00000000">
      <w:pPr>
        <w:pStyle w:val="Heading3"/>
        <w:spacing w:after="140"/>
      </w:pPr>
      <w:r>
        <w:t>6.1 The instrument applied to real material</w:t>
      </w:r>
    </w:p>
    <w:p w14:paraId="1D4DF865" w14:textId="77777777" w:rsidR="0019445B" w:rsidRDefault="00000000">
      <w:pPr>
        <w:spacing w:after="140"/>
      </w:pPr>
      <w:r>
        <w:t>Reads across the 32 cases: 18 Ready, 9 Needs work, 5 Gap. Documented outcomes: 15 determinations did not survive review, 7 contested without a recorded disposition, 5 sustained, 5 adverse audit findings.</w:t>
      </w:r>
      <w:r>
        <w:t xml:space="preserve"> Figure 2 shows the distribution of documentation reads across the documented outcomes.</w:t>
      </w:r>
    </w:p>
    <w:p w14:paraId="0E399C14" w14:textId="77777777" w:rsidR="00062F79" w:rsidRDefault="00062F79"/>
    <w:p w14:paraId="2E0B17C3" w14:textId="338B9E03" w:rsidR="0019445B" w:rsidRDefault="00062F79" w:rsidP="007A69C4">
      <w:pPr>
        <w:keepNext/>
        <w:jc w:val="center"/>
      </w:pPr>
      <w:r>
        <w:rPr>
          <w:noProof/>
        </w:rPr>
        <w:drawing>
          <wp:inline distT="0" distB="0" distL="0" distR="0" wp14:anchorId="7F50E4F8" wp14:editId="285F3ED5">
            <wp:extent cx="4197075" cy="3149600"/>
            <wp:effectExtent l="0" t="0" r="0" b="0"/>
            <wp:docPr id="57239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4395" name="Picture 572394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0168" cy="3174434"/>
                    </a:xfrm>
                    <a:prstGeom prst="rect">
                      <a:avLst/>
                    </a:prstGeom>
                  </pic:spPr>
                </pic:pic>
              </a:graphicData>
            </a:graphic>
          </wp:inline>
        </w:drawing>
      </w:r>
    </w:p>
    <w:p>
      <w:pPr>
        <w:spacing w:before="60" w:after="240"/>
        <w:jc w:val="center"/>
      </w:pPr>
      <w:r>
        <w:rPr>
          <w:b/>
          <w:sz w:val="20"/>
          <w:szCs w:val="20"/>
        </w:rPr>
        <w:t xml:space="preserve">Figure 2. Documentation read by documented outcome. </w:t>
      </w:r>
      <w:r>
        <w:rPr>
          <w:sz w:val="20"/>
          <w:szCs w:val="20"/>
        </w:rPr>
        <w:t xml:space="preserve">The figure shows the distribution of the three documentation reads across the documented outcomes in the 32-case corpus.</w:t>
      </w:r>
    </w:p>
    <w:p w14:paraId="7A9B5A0B" w14:textId="77777777" w:rsidR="0019445B" w:rsidRDefault="00000000">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w:t>
      </w:r>
      <w:r>
        <w:lastRenderedPageBreak/>
        <w:t>contemporaneous basis note, mean length 211 characters. That answers the first research question and supplies the applied case set the field did not previously have.</w:t>
      </w:r>
    </w:p>
    <w:p w14:paraId="34DA5FC4" w14:textId="77777777" w:rsidR="0019445B" w:rsidRDefault="00000000">
      <w:pPr>
        <w:pStyle w:val="Heading3"/>
        <w:spacing w:after="140"/>
      </w:pPr>
      <w:r>
        <w:t>6.2 The read agrees with independent auditors, five of five</w:t>
      </w:r>
    </w:p>
    <w:p w14:paraId="3898C123" w14:textId="77777777" w:rsidR="0019445B" w:rsidRDefault="00000000">
      <w:pPr>
        <w:spacing w:after="140"/>
      </w:pPr>
      <w:r>
        <w:t xml:space="preserve">Five cases are compliance audits in which a state or city Comptroller had independently examined an agency's FOIL </w:t>
      </w:r>
      <w:proofErr w:type="spellStart"/>
      <w:r>
        <w:t>programme</w:t>
      </w:r>
      <w:proofErr w:type="spellEnd"/>
      <w:r>
        <w:t>, using their own methodology and with no knowledge of this study.</w:t>
      </w:r>
    </w:p>
    <w:p w14:paraId="57363ADF" w14:textId="77777777" w:rsidR="0019445B" w:rsidRDefault="00000000">
      <w:pPr>
        <w:spacing w:after="140"/>
      </w:pPr>
      <w:r>
        <w:t>All five received a Gap read, recorded from the source before the auditor's conclusion was consulted. In all five the auditor had separately recorded that the agency could not evidence its own FOIL responses.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pPr>
        <w:spacing w:after="140"/>
      </w:pPr>
      <w:r>
        <w:t xml:space="preserve">Concordance is five of five. Two instruments built with no knowledge of each other, a documentation read applied to the source and a government audit applied to the programme, reached the same conclusion in every case where both were available. The agreement with the available Comptroller findings provides preliminary evidence that the record-level read identifies the same type of evidentiary deficiency identified independently through programme-level audit.</w:t>
      </w:r>
    </w:p>
    <w:p w14:paraId="2567CD9B" w14:textId="77777777" w:rsidR="0019445B" w:rsidRDefault="00000000">
      <w:pPr>
        <w:spacing w:after="140"/>
      </w:pPr>
      <w:r>
        <w:t>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14:paraId="1A4775C6" w14:textId="77777777" w:rsidR="0019445B" w:rsidRDefault="00000000">
      <w:pPr>
        <w:pStyle w:val="Heading3"/>
        <w:spacing w:after="140"/>
      </w:pPr>
      <w:r>
        <w:t xml:space="preserve">6.3 The read tracks </w:t>
      </w:r>
      <w:proofErr w:type="spellStart"/>
      <w:r>
        <w:t>reconstructability</w:t>
      </w:r>
      <w:proofErr w:type="spellEnd"/>
      <w:r>
        <w:t>, not outcome</w:t>
      </w:r>
    </w:p>
    <w:p w14:paraId="427DE4D4" w14:textId="77777777" w:rsidR="0019445B" w:rsidRDefault="00000000">
      <w:pPr>
        <w:spacing w:after="140"/>
      </w:pPr>
      <w:r>
        <w:t>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pPr>
        <w:spacing w:after="140"/>
      </w:pPr>
      <w:r>
        <w:t xml:space="preserve">The construct comparison is restricted to the 27 case-level sources classified Ready or Needs work; the 5 programme-level audit sources classified Gap are analyzed separately in Section 6.2. It is further restricted to the 24 of those 27 that carry a note, because a case with no note cannot be coded for what its note states, and counting it as not stating a reconstructability failure would inflate the comparison group. The 3 case-level sources without a note are excluded rather than assigned a code.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4442BB84" w14:textId="77777777">
        <w:tc>
          <w:tcPr>
            <w:tcW w:w="2340" w:type="dxa"/>
          </w:tcPr>
          <w:p w14:paraId="5928EE14" w14:textId="77777777" w:rsidR="0019445B" w:rsidRDefault="0019445B">
            <w:pPr>
              <w:spacing w:after="0"/>
            </w:pPr>
          </w:p>
        </w:tc>
        <w:tc>
          <w:tcPr>
            <w:tcW w:w="2340" w:type="dxa"/>
          </w:tcPr>
          <w:p w14:paraId="12425999" w14:textId="77777777" w:rsidR="0019445B" w:rsidRDefault="00000000">
            <w:pPr>
              <w:spacing w:after="0"/>
            </w:pPr>
            <w:proofErr w:type="spellStart"/>
            <w:r>
              <w:t>Reconstructability</w:t>
            </w:r>
            <w:proofErr w:type="spellEnd"/>
            <w:r>
              <w:t xml:space="preserve"> failure stated</w:t>
            </w:r>
          </w:p>
        </w:tc>
        <w:tc>
          <w:tcPr>
            <w:tcW w:w="2340" w:type="dxa"/>
          </w:tcPr>
          <w:p w14:paraId="1673FE61" w14:textId="77777777" w:rsidR="0019445B" w:rsidRDefault="00000000">
            <w:pPr>
              <w:spacing w:after="0"/>
            </w:pPr>
            <w:r>
              <w:t>Not stated</w:t>
            </w:r>
          </w:p>
        </w:tc>
        <w:tc>
          <w:tcPr>
            <w:tcW w:w="2340" w:type="dxa"/>
          </w:tcPr>
          <w:p w14:paraId="7AF280C3" w14:textId="77777777" w:rsidR="0019445B" w:rsidRDefault="00000000">
            <w:pPr>
              <w:spacing w:after="0"/>
            </w:pPr>
            <w:r>
              <w:t>Rate</w:t>
            </w:r>
          </w:p>
        </w:tc>
      </w:tr>
      <w:tr w:rsidR="0019445B" w14:paraId="74ADF819" w14:textId="77777777">
        <w:tc>
          <w:tcPr>
            <w:tcW w:w="2340" w:type="dxa"/>
          </w:tcPr>
          <w:p w14:paraId="4F208866" w14:textId="77777777" w:rsidR="0019445B" w:rsidRDefault="00000000">
            <w:pPr>
              <w:spacing w:after="0"/>
            </w:pPr>
            <w:r>
              <w:t>Needs work (n = 7)</w:t>
            </w:r>
          </w:p>
        </w:tc>
        <w:tc>
          <w:tcPr>
            <w:tcW w:w="2340" w:type="dxa"/>
          </w:tcPr>
          <w:p w14:paraId="2E1D9BE7" w14:textId="77777777" w:rsidR="0019445B" w:rsidRDefault="00000000">
            <w:pPr>
              <w:spacing w:after="0"/>
            </w:pPr>
            <w:r>
              <w:t>6</w:t>
            </w:r>
          </w:p>
        </w:tc>
        <w:tc>
          <w:tcPr>
            <w:tcW w:w="2340" w:type="dxa"/>
          </w:tcPr>
          <w:p w14:paraId="40F2C782" w14:textId="77777777" w:rsidR="0019445B" w:rsidRDefault="00000000">
            <w:pPr>
              <w:spacing w:after="0"/>
            </w:pPr>
            <w:r>
              <w:t>1</w:t>
            </w:r>
          </w:p>
        </w:tc>
        <w:tc>
          <w:tcPr>
            <w:tcW w:w="2340" w:type="dxa"/>
          </w:tcPr>
          <w:p w14:paraId="3CDC90DB" w14:textId="77777777" w:rsidR="0019445B" w:rsidRDefault="00000000">
            <w:pPr>
              <w:spacing w:after="0"/>
            </w:pPr>
            <w:r>
              <w:t>85.7%</w:t>
            </w:r>
          </w:p>
        </w:tc>
      </w:tr>
      <w:tr w:rsidR="0019445B" w14:paraId="7ACD2842" w14:textId="77777777">
        <w:tc>
          <w:tcPr>
            <w:tcW w:w="2340" w:type="dxa"/>
          </w:tcPr>
          <w:p w14:paraId="5113CF6B" w14:textId="77777777" w:rsidR="0019445B" w:rsidRDefault="00000000">
            <w:pPr>
              <w:spacing w:after="0"/>
            </w:pPr>
            <w:r>
              <w:t>Ready (n = 17)</w:t>
            </w:r>
          </w:p>
        </w:tc>
        <w:tc>
          <w:tcPr>
            <w:tcW w:w="2340" w:type="dxa"/>
          </w:tcPr>
          <w:p w14:paraId="00090AC6" w14:textId="77777777" w:rsidR="0019445B" w:rsidRDefault="00000000">
            <w:pPr>
              <w:spacing w:after="0"/>
            </w:pPr>
            <w:r>
              <w:t>0</w:t>
            </w:r>
          </w:p>
        </w:tc>
        <w:tc>
          <w:tcPr>
            <w:tcW w:w="2340" w:type="dxa"/>
          </w:tcPr>
          <w:p w14:paraId="75EF0BAB" w14:textId="77777777" w:rsidR="0019445B" w:rsidRDefault="00000000">
            <w:pPr>
              <w:spacing w:after="0"/>
            </w:pPr>
            <w:r>
              <w:t>17</w:t>
            </w:r>
          </w:p>
        </w:tc>
        <w:tc>
          <w:tcPr>
            <w:tcW w:w="2340" w:type="dxa"/>
          </w:tcPr>
          <w:p w14:paraId="6E9F92BC" w14:textId="77777777" w:rsidR="0019445B" w:rsidRDefault="00000000">
            <w:pPr>
              <w:spacing w:after="0"/>
            </w:pPr>
            <w:r>
              <w:t>0.0%</w:t>
            </w:r>
          </w:p>
        </w:tc>
      </w:tr>
    </w:tbl>
    <w:p w14:paraId="2B8E76D2" w14:textId="77777777" w:rsidR="0019445B" w:rsidRDefault="0019445B"/>
    <w:p w14:paraId="13712019" w14:textId="77777777" w:rsidR="0019445B" w:rsidRDefault="00000000">
      <w:pPr>
        <w:spacing w:after="140"/>
      </w:pPr>
      <w:r>
        <w:lastRenderedPageBreak/>
        <w:t>Fisher's exact test, two-sided: p = 0.0000520.</w:t>
      </w:r>
    </w:p>
    <w:p w14:paraId="75E90F55" w14:textId="77777777" w:rsidR="0019445B" w:rsidRDefault="00000000">
      <w:pPr>
        <w:spacing w:after="140"/>
      </w:pPr>
      <w:r>
        <w:t>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14:paraId="08FE2F30" w14:textId="77777777" w:rsidR="0019445B" w:rsidRDefault="00000000">
      <w:pPr>
        <w:spacing w:after="140"/>
      </w:pPr>
      <w:r>
        <w:t xml:space="preserve">No Needs work note contains an affirmative </w:t>
      </w:r>
      <w:proofErr w:type="spellStart"/>
      <w:r>
        <w:t>reconstructability</w:t>
      </w:r>
      <w:proofErr w:type="spellEnd"/>
      <w:r>
        <w:t xml:space="preserve"> statement, and no Ready note contains a </w:t>
      </w:r>
      <w:proofErr w:type="spellStart"/>
      <w:r>
        <w:t>reconstructability</w:t>
      </w:r>
      <w:proofErr w:type="spellEnd"/>
      <w:r>
        <w:t xml:space="preserve"> failure.</w:t>
      </w:r>
    </w:p>
    <w:p w14:paraId="1A64E8EE" w14:textId="77777777" w:rsidR="0019445B" w:rsidRDefault="00000000">
      <w:pPr>
        <w:spacing w:after="140"/>
      </w:pPr>
      <w:r>
        <w:t>These findings provide preliminary evidence addressing the third research question. The reads were driven by the presence or absence of a rebuildable basis, which is the property the instrument is built to detect, and not by who won or by what kind of case it was. The coding is post-hoc, which is why it is reported as construct evidence rather than as a confirmatory test, and the contemporaneous notes are what make it checkable by anyone re-reading the case set.</w:t>
      </w:r>
    </w:p>
    <w:p w14:paraId="2C48B78C" w14:textId="77777777" w:rsidR="0019445B" w:rsidRDefault="00000000">
      <w:pPr>
        <w:pStyle w:val="Heading3"/>
        <w:spacing w:after="140"/>
      </w:pPr>
      <w:r>
        <w:t>6.4 The read separates document classes by how much basis they expose</w:t>
      </w:r>
    </w:p>
    <w:p w14:paraId="7CB63B77" w14:textId="77777777" w:rsidR="0019445B" w:rsidRDefault="00000000">
      <w:pPr>
        <w:spacing w:after="140"/>
      </w:pPr>
      <w:r>
        <w:t>The same conclusion can be reached without relying on the reviewer's own words, using a structural feature of each source.</w:t>
      </w:r>
      <w:r>
        <w:t xml:space="preserve"> Figure 3 shows the distribution of documentation reads across the four source classes.</w:t>
      </w:r>
    </w:p>
    <w:p w14:paraId="6D793744" w14:textId="5E4A0F5B" w:rsidR="006F683F" w:rsidRDefault="006F683F" w:rsidP="006F683F">
      <w:pPr>
        <w:keepNext/>
        <w:spacing w:after="140"/>
        <w:jc w:val="center"/>
      </w:pPr>
      <w:r>
        <w:rPr>
          <w:noProof/>
        </w:rPr>
        <w:drawing>
          <wp:inline distT="0" distB="0" distL="0" distR="0" wp14:anchorId="5A3C063A" wp14:editId="4BC7B5B0">
            <wp:extent cx="3367401" cy="2541021"/>
            <wp:effectExtent l="0" t="0" r="0" b="0"/>
            <wp:docPr id="785118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8820" name="Picture 785118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012" cy="2573930"/>
                    </a:xfrm>
                    <a:prstGeom prst="rect">
                      <a:avLst/>
                    </a:prstGeom>
                  </pic:spPr>
                </pic:pic>
              </a:graphicData>
            </a:graphic>
          </wp:inline>
        </w:drawing>
      </w:r>
    </w:p>
    <w:p>
      <w:pPr>
        <w:spacing w:before="60" w:after="240"/>
        <w:jc w:val="center"/>
      </w:pPr>
      <w:r>
        <w:rPr>
          <w:b/>
          <w:sz w:val="20"/>
          <w:szCs w:val="20"/>
        </w:rPr>
        <w:t xml:space="preserve">Figure 3. Documentation read distribution by source type. </w:t>
      </w:r>
      <w:r>
        <w:rPr>
          <w:sz w:val="20"/>
          <w:szCs w:val="20"/>
        </w:rPr>
        <w:t xml:space="preserve">The figure shows the distribution of the three documentation reads across the four source classes in the study corpus.</w:t>
      </w:r>
    </w:p>
    <w:p w14:paraId="76143A9D" w14:textId="77777777" w:rsidR="0019445B" w:rsidRDefault="00000000">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w:t>
      </w:r>
      <w:r>
        <w:lastRenderedPageBreak/>
        <w:t>itself. Court decisions summarize it. Both Connecticut decisions turned on records the Commission examined in camera.</w:t>
      </w:r>
    </w:p>
    <w:p w14:paraId="011998F1" w14:textId="77777777" w:rsidR="0019445B" w:rsidRDefault="00000000">
      <w:pPr>
        <w:spacing w:after="140"/>
      </w:pPr>
      <w:r>
        <w:t>Grouping by that structural difference, sources that reproduce the determination text against sources that assessed the underlying records in camera or in aggregate: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19445B" w14:paraId="3B82B370" w14:textId="77777777">
        <w:tc>
          <w:tcPr>
            <w:tcW w:w="3120" w:type="dxa"/>
          </w:tcPr>
          <w:p w14:paraId="4E0D0B6C" w14:textId="77777777" w:rsidR="0019445B" w:rsidRDefault="0019445B">
            <w:pPr>
              <w:spacing w:after="0"/>
            </w:pPr>
          </w:p>
        </w:tc>
        <w:tc>
          <w:tcPr>
            <w:tcW w:w="3120" w:type="dxa"/>
          </w:tcPr>
          <w:p w14:paraId="657C1F13" w14:textId="77777777" w:rsidR="0019445B" w:rsidRDefault="00000000">
            <w:pPr>
              <w:spacing w:after="0"/>
            </w:pPr>
            <w:r>
              <w:t>Ready</w:t>
            </w:r>
          </w:p>
        </w:tc>
        <w:tc>
          <w:tcPr>
            <w:tcW w:w="3120" w:type="dxa"/>
          </w:tcPr>
          <w:p w14:paraId="65C11655" w14:textId="77777777" w:rsidR="0019445B" w:rsidRDefault="00000000">
            <w:pPr>
              <w:spacing w:after="0"/>
            </w:pPr>
            <w:r>
              <w:t>Not Ready</w:t>
            </w:r>
          </w:p>
        </w:tc>
      </w:tr>
      <w:tr w:rsidR="0019445B" w14:paraId="105EAE35" w14:textId="77777777">
        <w:tc>
          <w:tcPr>
            <w:tcW w:w="3120" w:type="dxa"/>
          </w:tcPr>
          <w:p w14:paraId="202AB37F" w14:textId="77777777" w:rsidR="0019445B" w:rsidRDefault="00000000">
            <w:pPr>
              <w:spacing w:after="0"/>
            </w:pPr>
            <w:r>
              <w:t>Reproduces the determination text (n = 7)</w:t>
            </w:r>
          </w:p>
        </w:tc>
        <w:tc>
          <w:tcPr>
            <w:tcW w:w="3120" w:type="dxa"/>
          </w:tcPr>
          <w:p w14:paraId="2134C084" w14:textId="77777777" w:rsidR="0019445B" w:rsidRDefault="00000000">
            <w:pPr>
              <w:spacing w:after="0"/>
            </w:pPr>
            <w:r>
              <w:t>6</w:t>
            </w:r>
          </w:p>
        </w:tc>
        <w:tc>
          <w:tcPr>
            <w:tcW w:w="3120" w:type="dxa"/>
          </w:tcPr>
          <w:p w14:paraId="7FCA5653" w14:textId="77777777" w:rsidR="0019445B" w:rsidRDefault="00000000">
            <w:pPr>
              <w:spacing w:after="0"/>
            </w:pPr>
            <w:r>
              <w:t>1</w:t>
            </w:r>
          </w:p>
        </w:tc>
      </w:tr>
      <w:tr w:rsidR="0019445B" w14:paraId="0CB1E576" w14:textId="77777777">
        <w:tc>
          <w:tcPr>
            <w:tcW w:w="3120" w:type="dxa"/>
          </w:tcPr>
          <w:p w14:paraId="1B4DEB11" w14:textId="77777777" w:rsidR="0019445B" w:rsidRDefault="00000000">
            <w:pPr>
              <w:spacing w:after="0"/>
            </w:pPr>
            <w:r>
              <w:t>Assessed the records in camera or in aggregate (n = 7)</w:t>
            </w:r>
          </w:p>
        </w:tc>
        <w:tc>
          <w:tcPr>
            <w:tcW w:w="3120" w:type="dxa"/>
          </w:tcPr>
          <w:p w14:paraId="173FAD6A" w14:textId="77777777" w:rsidR="0019445B" w:rsidRDefault="00000000">
            <w:pPr>
              <w:spacing w:after="0"/>
            </w:pPr>
            <w:r>
              <w:t>0</w:t>
            </w:r>
          </w:p>
        </w:tc>
        <w:tc>
          <w:tcPr>
            <w:tcW w:w="3120" w:type="dxa"/>
          </w:tcPr>
          <w:p w14:paraId="00EC84DE" w14:textId="77777777" w:rsidR="0019445B" w:rsidRDefault="00000000">
            <w:pPr>
              <w:spacing w:after="0"/>
            </w:pPr>
            <w:r>
              <w:t>7</w:t>
            </w:r>
          </w:p>
        </w:tc>
      </w:tr>
    </w:tbl>
    <w:p w14:paraId="1FBC84CF" w14:textId="77777777" w:rsidR="0019445B" w:rsidRDefault="0019445B"/>
    <w:p w14:paraId="1E3FCD3C" w14:textId="77777777" w:rsidR="0019445B" w:rsidRDefault="00000000">
      <w:pPr>
        <w:spacing w:after="140"/>
      </w:pPr>
      <w:r>
        <w:t>Fisher's exact test, two-sided: p = 0.00466.</w:t>
      </w:r>
    </w:p>
    <w:p w14:paraId="632689FD" w14:textId="4348C35B" w:rsidR="006F683F" w:rsidRDefault="00000000" w:rsidP="006F683F">
      <w:pPr>
        <w:spacing w:after="140"/>
      </w:pPr>
      <w:r>
        <w:t xml:space="preserve">Gap reads concentrate completely. All five </w:t>
      </w:r>
      <w:proofErr w:type="spellStart"/>
      <w:r>
        <w:t>programme</w:t>
      </w:r>
      <w:proofErr w:type="spellEnd"/>
      <w:r>
        <w:t>-level audits carry a Gap read; none of the 27 case-level sources does (p = 0.0000050).</w:t>
      </w:r>
    </w:p>
    <w:p>
      <w:pPr>
        <w:spacing w:after="140"/>
      </w:pPr>
      <w:r>
        <w:t xml:space="preserve">The instrument separates document classes by how much reconstructable basis each one carries, in the direction the construct predicts, using a variable independent of the reviewer's notes. Case type and read are not independent in this corpus, which is why Section 6.2 is reported as concordance rather than association, and the same collinearity bounds what Section 6.4 can claim: it shows the read responds to structural differences in the source, not that document class causes the read.</w:t>
      </w:r>
    </w:p>
    <w:p w14:paraId="73EFE314" w14:textId="77777777" w:rsidR="0019445B" w:rsidRDefault="00000000">
      <w:pPr>
        <w:pStyle w:val="Heading3"/>
        <w:spacing w:after="140"/>
      </w:pPr>
      <w:r>
        <w:t>6.5 Appellate outcome is a different variable</w:t>
      </w:r>
    </w:p>
    <w:p w14:paraId="54E76CBA" w14:textId="77777777" w:rsidR="0019445B" w:rsidRDefault="00000000">
      <w:pPr>
        <w:spacing w:after="140"/>
      </w:pPr>
      <w:r>
        <w:t>The specification check tested the read against appellate disposition, on the 20 determinations where the source records a resolved one.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32E79FA2" w14:textId="77777777">
        <w:tc>
          <w:tcPr>
            <w:tcW w:w="2340" w:type="dxa"/>
          </w:tcPr>
          <w:p w14:paraId="4D42FC27" w14:textId="77777777" w:rsidR="0019445B" w:rsidRDefault="0019445B">
            <w:pPr>
              <w:spacing w:after="0"/>
            </w:pPr>
          </w:p>
        </w:tc>
        <w:tc>
          <w:tcPr>
            <w:tcW w:w="2340" w:type="dxa"/>
          </w:tcPr>
          <w:p w14:paraId="1DD0432E" w14:textId="77777777" w:rsidR="0019445B" w:rsidRDefault="00000000">
            <w:pPr>
              <w:spacing w:after="0"/>
            </w:pPr>
            <w:r>
              <w:t>Sustained</w:t>
            </w:r>
          </w:p>
        </w:tc>
        <w:tc>
          <w:tcPr>
            <w:tcW w:w="2340" w:type="dxa"/>
          </w:tcPr>
          <w:p w14:paraId="59ADFB79" w14:textId="77777777" w:rsidR="0019445B" w:rsidRDefault="00000000">
            <w:pPr>
              <w:spacing w:after="0"/>
            </w:pPr>
            <w:r>
              <w:t>Did not survive</w:t>
            </w:r>
          </w:p>
        </w:tc>
        <w:tc>
          <w:tcPr>
            <w:tcW w:w="2340" w:type="dxa"/>
          </w:tcPr>
          <w:p w14:paraId="029540E7" w14:textId="77777777" w:rsidR="0019445B" w:rsidRDefault="00000000">
            <w:pPr>
              <w:spacing w:after="0"/>
            </w:pPr>
            <w:r>
              <w:t>Sustained rate</w:t>
            </w:r>
          </w:p>
        </w:tc>
      </w:tr>
      <w:tr w:rsidR="0019445B" w14:paraId="349391FC" w14:textId="77777777">
        <w:tc>
          <w:tcPr>
            <w:tcW w:w="2340" w:type="dxa"/>
          </w:tcPr>
          <w:p w14:paraId="7AE3C8CA" w14:textId="77777777" w:rsidR="0019445B" w:rsidRDefault="00000000">
            <w:pPr>
              <w:spacing w:after="0"/>
            </w:pPr>
            <w:r>
              <w:t>Ready</w:t>
            </w:r>
          </w:p>
        </w:tc>
        <w:tc>
          <w:tcPr>
            <w:tcW w:w="2340" w:type="dxa"/>
          </w:tcPr>
          <w:p w14:paraId="0F9AF468" w14:textId="77777777" w:rsidR="0019445B" w:rsidRDefault="00000000">
            <w:pPr>
              <w:spacing w:after="0"/>
            </w:pPr>
            <w:r>
              <w:t>3</w:t>
            </w:r>
          </w:p>
        </w:tc>
        <w:tc>
          <w:tcPr>
            <w:tcW w:w="2340" w:type="dxa"/>
          </w:tcPr>
          <w:p w14:paraId="469EF965" w14:textId="77777777" w:rsidR="0019445B" w:rsidRDefault="00000000">
            <w:pPr>
              <w:spacing w:after="0"/>
            </w:pPr>
            <w:r>
              <w:t>10</w:t>
            </w:r>
          </w:p>
        </w:tc>
        <w:tc>
          <w:tcPr>
            <w:tcW w:w="2340" w:type="dxa"/>
          </w:tcPr>
          <w:p w14:paraId="5BD279B2" w14:textId="77777777" w:rsidR="0019445B" w:rsidRDefault="00000000">
            <w:pPr>
              <w:spacing w:after="0"/>
            </w:pPr>
            <w:r>
              <w:t>23.1%</w:t>
            </w:r>
          </w:p>
        </w:tc>
      </w:tr>
      <w:tr w:rsidR="0019445B" w14:paraId="631C6F5C" w14:textId="77777777">
        <w:tc>
          <w:tcPr>
            <w:tcW w:w="2340" w:type="dxa"/>
          </w:tcPr>
          <w:p w14:paraId="1C542EBD" w14:textId="77777777" w:rsidR="0019445B" w:rsidRDefault="00000000">
            <w:pPr>
              <w:spacing w:after="0"/>
            </w:pPr>
            <w:r>
              <w:t>Needs work</w:t>
            </w:r>
          </w:p>
        </w:tc>
        <w:tc>
          <w:tcPr>
            <w:tcW w:w="2340" w:type="dxa"/>
          </w:tcPr>
          <w:p w14:paraId="6491D95B" w14:textId="77777777" w:rsidR="0019445B" w:rsidRDefault="00000000">
            <w:pPr>
              <w:spacing w:after="0"/>
            </w:pPr>
            <w:r>
              <w:t>2</w:t>
            </w:r>
          </w:p>
        </w:tc>
        <w:tc>
          <w:tcPr>
            <w:tcW w:w="2340" w:type="dxa"/>
          </w:tcPr>
          <w:p w14:paraId="4A4C69F3" w14:textId="77777777" w:rsidR="0019445B" w:rsidRDefault="00000000">
            <w:pPr>
              <w:spacing w:after="0"/>
            </w:pPr>
            <w:r>
              <w:t>5</w:t>
            </w:r>
          </w:p>
        </w:tc>
        <w:tc>
          <w:tcPr>
            <w:tcW w:w="2340" w:type="dxa"/>
          </w:tcPr>
          <w:p w14:paraId="70896CB6" w14:textId="77777777" w:rsidR="0019445B" w:rsidRDefault="00000000">
            <w:pPr>
              <w:spacing w:after="0"/>
            </w:pPr>
            <w:r>
              <w:t>28.6%</w:t>
            </w:r>
          </w:p>
        </w:tc>
      </w:tr>
    </w:tbl>
    <w:p w14:paraId="54E9162E" w14:textId="77777777" w:rsidR="0019445B" w:rsidRDefault="0019445B"/>
    <w:p w14:paraId="0D04C2EC" w14:textId="77777777" w:rsidR="0019445B" w:rsidRDefault="00000000">
      <w:pPr>
        <w:spacing w:after="140"/>
      </w:pPr>
      <w:r>
        <w:t>Odds ratio 0.75. Fisher's exact test, two-sided: p = 1.000. Null.</w:t>
      </w:r>
    </w:p>
    <w:p>
      <w:pPr>
        <w:spacing w:after="140"/>
      </w:pPr>
      <w:r>
        <w:t xml:space="preserve">Read alongside Sections 6.3 and 6.4, this is the expected result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reconstructability. Appellate outcome measures something else. Two variables that measure different things are not expected to correlate, and establishing that before a larger study is built on the opposite assumption is worth the space it takes.</w:t>
      </w:r>
    </w:p>
    <w:p>
      <w:pPr>
        <w:pStyle w:val="Heading3"/>
        <w:spacing w:after="140"/>
      </w:pPr>
      <w:r>
        <w:t xml:space="preserve">6.6 Interpreting the null outcome association</w:t>
      </w:r>
    </w:p>
    <w:p>
      <w:pPr>
        <w:spacing w:after="140"/>
      </w:pPr>
      <w:r>
        <w:t xml:space="preserve">The absence of an association between the documentation read and appellate outcome should not be interpreted as evidence that reconstructability lacks practical significance. The published public-records corpus is structured around contested legal questions, and appellate disposition reflects legal and substantive factors that extend beyond the quality of the record.</w:t>
      </w:r>
    </w:p>
    <w:p>
      <w:pPr>
        <w:spacing w:after="140"/>
      </w:pPr>
      <w:r>
        <w:t xml:space="preserve">The present finding therefore establishes an important boundary for this corpus: reconstructability and appellate disposition should not be treated as interchangeable outcome measures. Future studies should examine agency determinations before they enter a publication or litigation pathway and should compare record-level reconstructability with independently established audit and review findings.</w:t>
      </w:r>
    </w:p>
    <w:p w14:paraId="79A0CF37" w14:textId="77777777" w:rsidR="0019445B" w:rsidRDefault="00000000">
      <w:pPr>
        <w:pStyle w:val="Heading3"/>
        <w:spacing w:after="140"/>
      </w:pPr>
      <w:r>
        <w:t>6.7 Blind second read</w:t>
      </w:r>
    </w:p>
    <w:p w14:paraId="293A724F" w14:textId="77777777" w:rsidR="0019445B" w:rsidRDefault="00000000">
      <w:pPr>
        <w:spacing w:after="140"/>
      </w:pPr>
      <w:r>
        <w:t>The two readers agreed exactly on 7 of 10 cases, 70.0 percent, 95 percent Wilson interval 39.7 to 89.2. Cohen's kappa is 0.474 unweighted, which is moderate agreement on the conventional scale and is reported here without qualification.</w:t>
      </w:r>
    </w:p>
    <w:p w14:paraId="424007CE" w14:textId="77777777" w:rsidR="0019445B" w:rsidRDefault="00000000">
      <w:pPr>
        <w:spacing w:after="140"/>
      </w:pPr>
      <w:r>
        <w:t xml:space="preserve">Two further coefficients are reported because the unweighted figure is not the only defensible one for this scale, and reporting only the most </w:t>
      </w:r>
      <w:proofErr w:type="spellStart"/>
      <w:r>
        <w:t>favourable</w:t>
      </w:r>
      <w:proofErr w:type="spellEnd"/>
      <w:r>
        <w:t xml:space="preserve"> of the three would be a choice made after seeing the data. The scale is ordinal, Ready to Needs work to Gap, and </w:t>
      </w:r>
      <w:r>
        <w:rPr>
          <w:b/>
        </w:rPr>
        <w:t>all 3 disagreements were between adjacent categories; none was a Ready against a Gap.</w:t>
      </w:r>
      <w:r>
        <w:t xml:space="preserve"> Linear weighted kappa, which credits an adjacent disagreement more than a distant one, is 0.559. </w:t>
      </w:r>
      <w:proofErr w:type="spellStart"/>
      <w:r>
        <w:t>Gwet's</w:t>
      </w:r>
      <w:proofErr w:type="spellEnd"/>
      <w:r>
        <w:t xml:space="preserve"> AC1, which does not collapse when one category holds most of the margin, as Ready does here at 6 of 10, is 0.582. All three rest on 10 cases and none of them should be read as a stable estimate.</w:t>
      </w:r>
    </w:p>
    <w:p>
      <w:pPr>
        <w:spacing w:after="140"/>
      </w:pPr>
      <w:r>
        <w:t xml:space="preserve">The disagreements are not symmetric: the second reader was stricter than the original on 2 cases and more lenient on 1. They were case 1, read Ready originally and Needs work on re-read; case 4, read Ready originally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The Gap category was reproduced exactly in the blind second read.</w:t>
      </w:r>
    </w:p>
    <w:p w14:paraId="7BF3DC8E" w14:textId="77777777" w:rsidR="0019445B" w:rsidRDefault="00000000">
      <w:pPr>
        <w:pStyle w:val="Heading2"/>
        <w:spacing w:after="140"/>
      </w:pPr>
      <w:r>
        <w:t>7. Discussion</w:t>
      </w:r>
    </w:p>
    <w:p>
      <w:pPr>
        <w:spacing w:after="140"/>
      </w:pPr>
      <w:r>
        <w:t xml:space="preserve">The pilot provides evidence for three propositions. The instrument can be applied to real public-records material across document classes and jurisdictions and returns a full range of reads. Where an independent government auditor assessed the same records, the read and the audit agreed in every case. And the reads are driven by reconstructability rather than by outcome, shown twice, once from the reviewer's contemporaneous notes and once from a structural feature of the sources.</w:t>
      </w:r>
    </w:p>
    <w:p>
      <w:pPr>
        <w:spacing w:after="140"/>
      </w:pPr>
      <w:r>
        <w:t xml:space="preserve">Reviewability is a property of the record, measurable regardless of the software or system that produced it. That is what makes a documentation-quality read portable across agencies and across workflows, and Section 6.2 shows it lands where a professional auditor lands.</w:t>
      </w:r>
    </w:p>
    <w:p w14:paraId="26208827" w14:textId="77777777" w:rsidR="0019445B" w:rsidRDefault="00000000">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modernization, sample their own determinations for </w:t>
      </w:r>
      <w:proofErr w:type="spellStart"/>
      <w:r>
        <w:t>reconstructability</w:t>
      </w:r>
      <w:proofErr w:type="spellEnd"/>
      <w:r>
        <w:t xml:space="preserve">, catching the case where better tooling produces fluent but </w:t>
      </w:r>
      <w:proofErr w:type="spellStart"/>
      <w:r>
        <w:t>unreconstructable</w:t>
      </w:r>
      <w:proofErr w:type="spellEnd"/>
      <w:r>
        <w:t xml:space="preserve"> records.</w:t>
      </w:r>
    </w:p>
    <w:p w14:paraId="4914191C" w14:textId="77777777" w:rsidR="0019445B" w:rsidRDefault="00000000">
      <w:pPr>
        <w:spacing w:after="140"/>
      </w:pPr>
      <w:r>
        <w:t>For public-records programs, the practical form is simpler than the research form. Determinations that rebuild their own basis, that name each exemption, itemize the records located and produced, and connect reasoning to cited authority, are more consistent across officers and cheaper to defend when an auditor or an appeals body asks. The five conditions work as a pre-issuance checklist, not only as a research instrument. This pilot does not establish that using them lowers reversal rates, and no such claim is made.</w:t>
      </w:r>
    </w:p>
    <w:p>
      <w:pPr>
        <w:pStyle w:val="Heading2"/>
        <w:spacing w:after="140"/>
      </w:pPr>
      <w:r>
        <w:t xml:space="preserve">8. Practical implications for records and information governance</w:t>
      </w:r>
    </w:p>
    <w:p>
      <w:pPr>
        <w:spacing w:after="140"/>
      </w:pPr>
      <w:r>
        <w:t xml:space="preserve">The findings support three potential uses of reconstructability review within records and information governance, while not establishing that the review improves substantive outcomes.</w:t>
      </w:r>
    </w:p>
    <w:p>
      <w:pPr>
        <w:spacing w:after="140"/>
      </w:pPr>
      <w:r>
        <w:t xml:space="preserve">Pre-finalisation quality assurance. A record can be reviewed for reconstructability while the underlying matter remains active. The relevant question is whether an informed reviewer who did not participate in the decision could understand the evidentiary basis and reasoning from the record available to them.</w:t>
      </w:r>
    </w:p>
    <w:p>
      <w:pPr>
        <w:spacing w:after="140"/>
      </w:pPr>
      <w:r>
        <w:t xml:space="preserve">Retrospective review. Records functions can use reconstructability review to examine consequential records already in the system, particularly where audit, appeal or regulatory exposure makes later explanation likely.</w:t>
      </w:r>
    </w:p>
    <w:p>
      <w:pPr>
        <w:spacing w:after="140"/>
      </w:pPr>
      <w:r>
        <w:t xml:space="preserve">Audit sampling. A structured record-level read may provide a method for identifying recurring documentation weaknesses across a programme. The value is not the rating alone. It is the recorded basis for the rating, which can identify the specific information missing from the record.</w:t>
      </w:r>
    </w:p>
    <w:p>
      <w:pPr>
        <w:spacing w:after="140"/>
      </w:pPr>
      <w:r>
        <w:rPr>
          <w:b/>
        </w:rPr>
        <w:t xml:space="preserve">What this does not support.</w:t>
      </w:r>
      <w:r>
        <w:t xml:space="preserve"> The evidence does not establish that applying the read improves documentation, reduces adverse findings, or performs equivalently outside the two states and four document classes sampled. The reliability evidence is interim. These are the questions a larger study would take up.</w:t>
      </w:r>
    </w:p>
    <w:p w14:paraId="231411F4" w14:textId="77777777" w:rsidR="0019445B" w:rsidRDefault="00000000">
      <w:pPr>
        <w:pStyle w:val="Heading2"/>
        <w:spacing w:after="140"/>
      </w:pPr>
      <w:r>
        <w:t>9. Limitations</w:t>
      </w:r>
    </w:p>
    <w:p w14:paraId="54017BC1" w14:textId="77777777" w:rsidR="0019445B" w:rsidRDefault="00000000">
      <w:pPr>
        <w:spacing w:after="140"/>
      </w:pPr>
      <w:r>
        <w:t xml:space="preserve">All 32 reads were recorded by a single domain reviewer. </w:t>
      </w:r>
      <w:r>
        <w:rPr>
          <w:b/>
        </w:rPr>
        <w:t>10 of them, not all 32, were re-read blind by an independent reviewer</w:t>
      </w:r>
      <w:r>
        <w:t xml:space="preserve">, so reader dependence is estimated on a subset and not </w:t>
      </w:r>
      <w:r>
        <w:lastRenderedPageBreak/>
        <w:t>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pPr>
        <w:spacing w:after="140"/>
      </w:pPr>
      <w:r>
        <w:t xml:space="preserve">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Additional independent reviews would be required before stable estimates of inter-rater reliability could be established.</w:t>
      </w:r>
    </w:p>
    <w:p>
      <w:pPr>
        <w:spacing w:after="140"/>
      </w:pPr>
      <w:r>
        <w:t xml:space="preserve">The note coding in Section 6.3 is post-hoc rather than pre-registered, and is reported as construct evidence rather than as a confirmatory test.</w:t>
      </w:r>
    </w:p>
    <w:p w14:paraId="12A25DFB" w14:textId="77777777" w:rsidR="0019445B" w:rsidRDefault="00000000">
      <w:pPr>
        <w:spacing w:after="140"/>
      </w:pPr>
      <w:r>
        <w:t>Cases were selected by the domain reviewer from published sources rather than sampled at random, and published sources over-represent contested determinations.</w:t>
      </w:r>
    </w:p>
    <w:p>
      <w:pPr>
        <w:spacing w:after="140"/>
      </w:pPr>
      <w:r>
        <w:t xml:space="preserve">The convergent-validity result rests on five audits, and in this corpus document class and read are not independent, which bounds Sections 6.2 and 6.4 to the readings given there.</w:t>
      </w:r>
    </w:p>
    <w:p w14:paraId="5AE0E97F" w14:textId="77777777" w:rsidR="0019445B" w:rsidRDefault="00000000">
      <w:pPr>
        <w:spacing w:after="140"/>
      </w:pPr>
      <w:r>
        <w:t>The corpus is two states, New York and Connecticut. Generalization beyond them is not claimed.</w:t>
      </w:r>
    </w:p>
    <w:p w14:paraId="6E1C7E40" w14:textId="77777777" w:rsidR="0019445B" w:rsidRDefault="00000000">
      <w:pPr>
        <w:spacing w:after="140"/>
      </w:pPr>
      <w:r>
        <w:t>Seven cases record a contest without a resolved disposition, which reduces the specification check from 27 determinations to 20.</w:t>
      </w:r>
    </w:p>
    <w:p w14:paraId="562447B9" w14:textId="77777777" w:rsidR="0019445B" w:rsidRDefault="00000000">
      <w:pPr>
        <w:spacing w:after="140"/>
      </w:pPr>
      <w:r>
        <w:t>The reviewer read the determination as reported in a published decision or audit, which is not identical to the file the original decision-maker produced.</w:t>
      </w:r>
    </w:p>
    <w:p w14:paraId="48E06DC8" w14:textId="77777777" w:rsidR="0019445B" w:rsidRDefault="00000000">
      <w:pPr>
        <w:spacing w:after="140"/>
      </w:pPr>
      <w:r>
        <w:t>The standard remains in a validation phase and makes no proven-effectiveness claim.</w:t>
      </w:r>
    </w:p>
    <w:p w14:paraId="64E068DF" w14:textId="77777777" w:rsidR="0019445B" w:rsidRDefault="00000000">
      <w:pPr>
        <w:pStyle w:val="Heading2"/>
        <w:spacing w:after="140"/>
      </w:pPr>
      <w:r>
        <w:t>10. Conclusion</w:t>
      </w:r>
    </w:p>
    <w:p>
      <w:pPr>
        <w:spacing w:after="140"/>
      </w:pPr>
      <w:r>
        <w:t xml:space="preserve">This study examines a simple records question: whether a consequential decision can later be understood and evaluated from the record itself.</w:t>
      </w:r>
    </w:p>
    <w:p>
      <w:pPr>
        <w:spacing w:after="140"/>
      </w:pPr>
      <w:r>
        <w:t xml:space="preserve">Across 32 public-records cases, the structured documentation read produced a full range of assessments, corresponded with the available independent government audit findings, and was associated with reconstructability as reflected in contemporaneous basis notes and structural differences among the source records. It was not associated with appellate outcome, supporting the conclusion that reconstructability and substantive disposition should not be treated as the same variable.</w:t>
      </w:r>
    </w:p>
    <w:p>
      <w:pPr>
        <w:spacing w:after="140"/>
      </w:pPr>
      <w:r>
        <w:t xml:space="preserve">The study does not establish the effectiveness of the instrument or its generalisability beyond the corpus examined. Its contribution is narrower and more practical. It provides an initial method for examining a property that consequential records must often possess: the capacity to preserve enough evidentiary and decision-process information for a later, independent reviewer to reconstruct the basis of the decision.</w:t>
      </w:r>
    </w:p>
    <w:p>
      <w:pPr>
        <w:spacing w:after="140"/>
      </w:pPr>
      <w:r>
        <w:t xml:space="preserve">The next study is therefore clear. It should examine agency records as issued, rather than only records that later entered published disputes; use multiple blinded reviewers; preserve contemporaneous basis notes; and compare record-level assessments with independently established review or audit findings.</w:t>
      </w:r>
    </w:p>
    <w:p>
      <w:pPr>
        <w:spacing w:after="140"/>
      </w:pPr>
      <w:r>
        <w:t xml:space="preserve">For records and information governance, the central implication is straightforward. A record may survive because it was retained, classified and preserved correctly while still failing to preserve the basis of the decision it documents. Reconstructability is therefore a distinct quality of consequential records and one that can be examined directly.</w:t>
      </w:r>
    </w:p>
    <w:p w14:paraId="762EB877" w14:textId="77777777" w:rsidR="0019445B" w:rsidRDefault="00000000">
      <w:pPr>
        <w:pStyle w:val="Heading2"/>
        <w:spacing w:after="140"/>
      </w:pPr>
      <w:r>
        <w:t>References</w:t>
      </w:r>
    </w:p>
    <w:p w14:paraId="796797DA" w14:textId="77777777" w:rsidR="0019445B" w:rsidRDefault="00000000">
      <w:pPr>
        <w:spacing w:after="140"/>
      </w:pPr>
      <w:r>
        <w:t xml:space="preserve">Chief FOIA Officers Council. (2026, May 28). </w:t>
      </w:r>
      <w:r>
        <w:rPr>
          <w:i/>
        </w:rPr>
        <w:t>Memorandum: data collection and volunteers</w:t>
      </w:r>
      <w:r>
        <w:t xml:space="preserve"> [Government-wide FOIA technology inventory initiative]. United States Department of Justice.</w:t>
      </w:r>
    </w:p>
    <w:p w14:paraId="16397252" w14:textId="77777777" w:rsidR="0019445B" w:rsidRDefault="00000000">
      <w:pPr>
        <w:spacing w:after="140"/>
      </w:pPr>
      <w:proofErr w:type="spellStart"/>
      <w:r>
        <w:t>Gwet</w:t>
      </w:r>
      <w:proofErr w:type="spellEnd"/>
      <w:r>
        <w:t xml:space="preserve">, K. L. (2008). Computing inter-rater reliability and its variance in the presence of high agreement. </w:t>
      </w:r>
      <w:r>
        <w:rPr>
          <w:i/>
        </w:rPr>
        <w:t>British Journal of Mathematical and Statistical Psychology, 61</w:t>
      </w:r>
      <w:r>
        <w:t>(1), 29-48.</w:t>
      </w:r>
    </w:p>
    <w:p w14:paraId="34E36B76" w14:textId="77777777" w:rsidR="0019445B" w:rsidRDefault="00000000">
      <w:pPr>
        <w:pStyle w:val="Heading3"/>
        <w:spacing w:after="140"/>
      </w:pPr>
      <w:r>
        <w:t>Cited determinations, opinions, and audits</w:t>
      </w:r>
    </w:p>
    <w:p w14:paraId="139E6623" w14:textId="77777777" w:rsidR="0019445B" w:rsidRDefault="00000000">
      <w:pPr>
        <w:spacing w:after="140"/>
      </w:pPr>
      <w:r>
        <w:t>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14:paraId="3EC0FF24" w14:textId="77777777" w:rsidR="0019445B" w:rsidRDefault="00000000">
      <w:pPr>
        <w:spacing w:after="140"/>
      </w:pPr>
      <w:r>
        <w:t>New York Committee on Open Government advisory opinions: FOIL AO 19516 (December 5, 2016); FOIL AO 19639 (December 20, 2017); FOIL AO 19646 (February 16, 2018); FOIL AO 19721 (April 12, 2019); FOIL AO 19746 (July 16, 2019); FOIL AO 19780 (September 21, 2020); FOIL AO 19854 (October 18, 2023).</w:t>
      </w:r>
    </w:p>
    <w:p w14:paraId="0D08EB49" w14:textId="77777777" w:rsidR="0019445B" w:rsidRDefault="00000000">
      <w:pPr>
        <w:spacing w:after="140"/>
      </w:pPr>
      <w:r>
        <w:t>Connecticut Freedom of Information Commission final decisions: FIC2012-276; FIC2015-122.</w:t>
      </w:r>
    </w:p>
    <w:p w14:paraId="2A3715E1" w14:textId="77777777" w:rsidR="0019445B" w:rsidRDefault="00000000">
      <w:pPr>
        <w:spacing w:after="140"/>
      </w:pPr>
      <w:r>
        <w:t>Compliance audits: New York State Comptroller, compliance with Freedom of Information Law requirements (2020, 2021, 2023); New York City Comptroller, Review of the New York City Police Department's Body-Worn Camera Program (2025).</w:t>
      </w:r>
    </w:p>
    <w:p w14:paraId="1E4F21B9" w14:textId="77777777" w:rsidR="0019445B" w:rsidRDefault="00000000">
      <w:pPr>
        <w:pStyle w:val="Heading2"/>
        <w:spacing w:after="140"/>
      </w:pPr>
      <w:r>
        <w:t>Data availability</w:t>
      </w:r>
    </w:p>
    <w:p>
      <w:pPr>
        <w:spacing w:after="140"/>
      </w:pPr>
      <w:r>
        <w:t xml:space="preserve">Case-level data (public citation, read, contemporaneous basis note, and documented outcome) are held in the study database. Verified counts as of 8 August 2026: 32 cases from 32 distinct public sources, collected 26 June to 8 August 2026; reads 18 Ready, 9 Needs work, 5 Gap; outcomes 15 did not survive review, 7 contested, 5 sustained, 5 adverse audit findings. Every figure in Section 5 is reproduced by analysis.py, which uses only the Python standard library, needs no network access, and verifies each figure against the manuscript text on every run. It computes the Section 6.3 cell counts from the construct coding frame and the Section 6.4 groups from the structural coding frame, so the chain from case to coding to result is a file at every step. Fisher's exact test, the Wilson interval, Cohen's kappa and Gwet's AC1 are written out in that file rather than imported. The blind second read of Section 6.7, its per-case answers and every coefficient are held in Blind_Recheck_RESULT_2026-08-28.json. The complete case set with citations and notes is available from the authors and will be released with publication.</w:t>
      </w:r>
    </w:p>
    <w:sectPr w:rsidR="00544B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543643"/>
    <w:multiLevelType w:val="multilevel"/>
    <w:tmpl w:val="EA48495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7937AC"/>
    <w:multiLevelType w:val="multilevel"/>
    <w:tmpl w:val="DDF81DF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4769721">
    <w:abstractNumId w:val="1"/>
  </w:num>
  <w:num w:numId="2" w16cid:durableId="1608079793">
    <w:abstractNumId w:val="0"/>
  </w:num>
  <w:num w:numId="3" w16cid:durableId="1991322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B"/>
    <w:rsid w:val="00062F79"/>
    <w:rsid w:val="0019445B"/>
    <w:rsid w:val="00544BA4"/>
    <w:rsid w:val="006F683F"/>
    <w:rsid w:val="007A69C4"/>
    <w:rsid w:val="00E9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403D9"/>
  <w15:docId w15:val="{0CFC1582-AEEF-5D42-9257-C2C02023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36"/>
    </w:rPr>
  </w:style>
  <w:style w:type="paragraph" w:styleId="Heading2">
    <w:name w:val="heading 2"/>
    <w:basedOn w:val="Normal"/>
    <w:uiPriority w:val="9"/>
    <w:unhideWhenUsed/>
    <w:qFormat/>
    <w:pPr>
      <w:spacing w:before="220" w:after="110"/>
      <w:outlineLvl w:val="1"/>
    </w:pPr>
    <w:rPr>
      <w:b/>
      <w:sz w:val="28"/>
    </w:rPr>
  </w:style>
  <w:style w:type="paragraph" w:styleId="Heading3">
    <w:name w:val="heading 3"/>
    <w:basedOn w:val="Normal"/>
    <w:uiPriority w:val="9"/>
    <w:unhideWhenUsed/>
    <w:qFormat/>
    <w:pPr>
      <w:spacing w:before="200" w:after="100"/>
      <w:outlineLvl w:val="2"/>
    </w:pPr>
    <w:rPr>
      <w:b/>
      <w:sz w:val="26"/>
    </w:rPr>
  </w:style>
  <w:style w:type="paragraph" w:styleId="Heading4">
    <w:name w:val="heading 4"/>
    <w:basedOn w:val="Normal"/>
    <w:uiPriority w:val="9"/>
    <w:semiHidden/>
    <w:unhideWhenUsed/>
    <w:qFormat/>
    <w:pPr>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5130</Words>
  <Characters>27501</Characters>
  <Application>Microsoft Office Word</Application>
  <DocSecurity>0</DocSecurity>
  <Lines>450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 Billups</cp:lastModifiedBy>
  <cp:revision>3</cp:revision>
  <dcterms:created xsi:type="dcterms:W3CDTF">2026-09-01T03:41:00Z</dcterms:created>
  <dcterms:modified xsi:type="dcterms:W3CDTF">2026-09-01T03:54:00Z</dcterms:modified>
</cp:coreProperties>
</file>