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Chief FOIA Officers Council: two submissions, both in Stacy Young's name</w:t>
      </w:r>
    </w:p>
    <w:p>
      <w:pPr>
        <w:spacing w:after="140"/>
      </w:pPr>
      <w:r>
        <w:rPr>
          <w:i/>
        </w:rPr>
        <w:t xml:space="preserve">Drawn from the Council's 28 May 2026 memorandum from Alina M. Semo and Sean D. Glendening, which does two things this work maps onto: Dr. Jeremy Frazier at Interior is building a government-wide inventory of FOIA technology solutions, and the Council is recruiting volunteers for its Technology Committee and its Committee on Cross-Agency Collaboration and Innovation. Both notes below go out in Stacy's name with Phillip second, because she is the federal-adjacent public-records practitioner and the memo is addressed to people in her role. Send after she approves. No long dashes.</w:t>
      </w:r>
    </w:p>
    <w:p>
      <w:pPr>
        <w:spacing w:after="140"/>
      </w:pPr>
      <w:r>
        <w:rPr>
          <w:i/>
        </w:rPr>
        <w:t xml:space="preserve">Addresses from the memorandum: jeremy.frazier@sol.doi.gov, (803) 586-5040, and CFOCouncil@nara.gov.</w:t>
      </w:r>
    </w:p>
    <w:p>
      <w:pPr>
        <w:pBdr>
          <w:bottom w:val="single" w:sz="6" w:space="1" w:color="AAAAAA"/>
        </w:pBdr>
      </w:pPr>
    </w:p>
    <w:p>
      <w:pPr>
        <w:pStyle w:val="Heading2"/>
        <w:spacing w:after="140"/>
      </w:pPr>
      <w:r>
        <w:t xml:space="preserve">1. To Dr. Jeremy Frazier, on the technology inventory</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am the Deputy Records Access Officer at the New York City Department of Housing Preservation and Development, and I have spent more than twenty years in New York City public-records operations across housing, transportation and environmental agencies.</w:t>
      </w:r>
    </w:p>
    <w:p>
      <w:pPr>
        <w:spacing w:after="140"/>
      </w:pPr>
      <w:r>
        <w:t xml:space="preserve">I am writing about the inventory of FOIA technology solutions described in the Council's 28 May memorandum. I have just completed a study that sits directly alongside it and that may be useful as the inventory takes shape.</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work is a structured read of the record itself, applied without regard to which system produced it. I applied it to 32 real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I looked at how it came out, and each assessment was recorded with a written basis.</w:t>
      </w:r>
    </w:p>
    <w:p>
      <w:pPr>
        <w:spacing w:after="140"/>
      </w:pPr>
      <w:r>
        <w:t xml:space="preserve">Three findings may be relevant to the Council's work.</w:t>
      </w:r>
    </w:p>
    <w:p>
      <w:pPr>
        <w:spacing w:after="140"/>
      </w:pPr>
      <w:r>
        <w:t xml:space="preserve">The read agreed with independent government auditors in every case where both existed. All five compliance audits in the set were flagged as having no reconstructable basis, and in all five the auditor had separately recorded that the agency could not evidence its own FOIL responses: tracking missing, records of what was provided missing, and in two audits an express statement that the auditor could not determine whether the necessary information had been supplied.</w:t>
      </w:r>
    </w:p>
    <w:p>
      <w:pPr>
        <w:spacing w:after="140"/>
      </w:pPr>
      <w:r>
        <w:t xml:space="preserve">The read was driven by whether the underlying basis was actually present, not by whether the agency won. Six of nine partial assessments carry a contemporaneous note saying the record-level basis could not be rebuilt from the source, against none of the eighteen assessed as complete.</w:t>
      </w:r>
    </w:p>
    <w:p>
      <w:pPr>
        <w:spacing w:after="140"/>
      </w:pPr>
      <w:r>
        <w:t xml:space="preserve">The read separated document types by how much basis each exposes, which is the behaviour you would want from a measure of documentation quality.</w:t>
      </w:r>
    </w:p>
    <w:p>
      <w:pPr>
        <w:spacing w:after="140"/>
      </w:pPr>
      <w:r>
        <w:t xml:space="preserve">A fourth check found no relationship between the read and whether an agency prevailed on appeal, and the study reports that plainly. Published cases are selected for contested legal questions rather than thin files, which is why audit findings, and not appellate outcomes, are the measure a records programme can act on. That reading has since been tested. The same instrument applied in a second domain, employment and labour matters, on 22 adjudicated cases that are not filtered by publication practice, does show the association: records assessed as complete were sustained in six of eight resolved cases against one of eight for records assessed as incomplete, p = 0.041.</w:t>
      </w:r>
    </w:p>
    <w:p>
      <w:pPr>
        <w:spacing w:after="140"/>
      </w:pPr>
      <w:r>
        <w:t xml:space="preserve">The practical point for the inventory is narrow. A documentation-quality sample is cheap, it runs on records an agency already has, it needs no new software, and it measures the thing an inventory cannot see: whether the output holds up when someone reads it cold. If a measure of that kind would be useful as a companion to the technology data you are collecting, I am glad to share the protocol, the case set with citations, and the analysis, and to answer questions from you or your staff.</w:t>
      </w:r>
    </w:p>
    <w:p>
      <w:pPr>
        <w:spacing w:after="140"/>
      </w:pPr>
      <w:r>
        <w:t xml:space="preserve">The manuscript is under submission and I can send the current draft on request.</w:t>
      </w:r>
    </w:p>
    <w:p>
      <w:pPr>
        <w:spacing w:after="140"/>
      </w:pPr>
      <w:r>
        <w:t xml:space="preserve">With respect,</w:t>
      </w:r>
    </w:p>
    <w:p>
      <w:pPr>
        <w:spacing w:after="140"/>
      </w:pPr>
      <w:r>
        <w:t xml:space="preserve">Stacy Young</w:t>
      </w:r>
    </w:p>
    <w:p>
      <w:pPr>
        <w:spacing w:after="140"/>
      </w:pPr>
      <w:r>
        <w:t xml:space="preserve">Deputy Records Access Officer</w:t>
      </w:r>
    </w:p>
    <w:p>
      <w:pPr>
        <w:spacing w:after="140"/>
      </w:pPr>
      <w:r>
        <w:t xml:space="preserve">NYC Department of Housing Preservation and Development</w:t>
      </w:r>
    </w:p>
    <w:p>
      <w:pPr>
        <w:spacing w:after="140"/>
      </w:pPr>
      <w:r>
        <w:t xml:space="preserve">Phillip Wikes</w:t>
      </w:r>
    </w:p>
    <w:p>
      <w:pPr>
        <w:spacing w:after="140"/>
      </w:pPr>
      <w:r>
        <w:t xml:space="preserve">Creator of the Justification Review Standard; former Lead Civil Rights Officer, Maryland Commission on Civil Rights</w:t>
      </w:r>
    </w:p>
    <w:p>
      <w:pPr>
        <w:pBdr>
          <w:bottom w:val="single" w:sz="6" w:space="1" w:color="AAAAAA"/>
        </w:pBdr>
      </w:pPr>
    </w:p>
    <w:p>
      <w:pPr>
        <w:pStyle w:val="Heading2"/>
        <w:spacing w:after="140"/>
      </w:pPr>
      <w:r>
        <w:t xml:space="preserve">2. To CFOCouncil@nara.gov, volunteering for the Technology Committee</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am the Deputy Records Access Officer at the New York City Department of Housing Preservation and Development, where I lead cross-divisional public-records and regulatory operations. I have worked in New York City public-records administration since 2004, including as Assistant Freedom of Information Law Officer at the NYC Taxi and Limousine Commission and as Records Manager at the NYC Department of Environmental Protection, and I hold professional certifications through SUNY and the New York State Archives. My work sits where records operations, legal compliance and executive decision support meet.</w:t>
      </w:r>
    </w:p>
    <w:p>
      <w:pPr>
        <w:spacing w:after="140"/>
      </w:pPr>
      <w:r>
        <w:t xml:space="preserve">I have just completed an empirical study of documentation quality in public-records determinations, covering 32 real cases across court decisions, open-government advisory opinions, state commission decisions and Comptroller compliance audits, with decisions spanning 2005 to 2026. The central result is that a structured read of the record agreed with independent government auditors in every case where both assessments existed, five of five. A manuscript is under submission, and a companion study in a second domain finds the same read associated with whether a decision was sustained on review.</w:t>
      </w:r>
    </w:p>
    <w:p>
      <w:pPr>
        <w:spacing w:after="140"/>
      </w:pPr>
      <w:r>
        <w:t xml:space="preserve">What I would bring to the Technology Committee is the perspective that sits next to the technology question rather than inside it: whether the determinations produced through any given system remain reviewable and defensible after the fact. As the Council builds its inventory of FOIA technology solutions, that companion measure seems worth having in the room, and I would be glad to contribute it alongside the operational experience of running a large city FOIL programme.</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 Young</w:t>
      </w:r>
    </w:p>
    <w:p>
      <w:pPr>
        <w:spacing w:after="140"/>
      </w:pPr>
      <w:r>
        <w:t xml:space="preserve">Deputy Records Access Officer</w:t>
      </w:r>
    </w:p>
    <w:p>
      <w:pPr>
        <w:spacing w:after="140"/>
      </w:pPr>
      <w:r>
        <w:t xml:space="preserve">NYC Department of Housing Preservation and Development</w:t>
      </w:r>
    </w:p>
    <w:p>
      <w:pPr>
        <w:pBdr>
          <w:bottom w:val="single" w:sz="6" w:space="1" w:color="AAAAAA"/>
        </w:pBdr>
      </w:pPr>
    </w:p>
    <w:p>
      <w:pPr>
        <w:pStyle w:val="Heading2"/>
        <w:spacing w:after="140"/>
      </w:pPr>
      <w:r>
        <w:t xml:space="preserve">Notes for Phillip, not for sending</w:t>
      </w:r>
    </w:p>
    <w:p>
      <w:pPr>
        <w:spacing w:after="140"/>
      </w:pPr>
      <w:r>
        <w:t xml:space="preserve">Both notes are deliberately short and lead with her role rather than with the standard. A memorandum addressed to Chief FOIA Officers is answered by a FOIA officer, not by a vendor, and the fastest way to lose the room is to arrive selling something.</w:t>
      </w:r>
    </w:p>
    <w:p>
      <w:pPr>
        <w:spacing w:after="140"/>
      </w:pPr>
      <w:r>
        <w:t xml:space="preserve">Neither note names the standard by its trademark or links the site. The work is described by what it does. If Dr. Frazier or the Council asks what the instrument is, that is the moment to name it, and the answer lands better as a response to a question than as an opening claim.</w:t>
      </w:r>
    </w:p>
    <w:p>
      <w:pPr>
        <w:spacing w:after="140"/>
      </w:pPr>
      <w:r>
        <w:t xml:space="preserve">The submission to Dr. Frazier offers the protocol, the case set and the analysis without charge. The asset here is the category and the evidence base, and a federal inventory citing the work is worth considerably more than a licence fee from any single agency.</w:t>
      </w:r>
    </w:p>
    <w:p>
      <w:pPr>
        <w:spacing w:after="140"/>
      </w:pPr>
      <w:r>
        <w:t xml:space="preserve">Send after Stacy approves both, and let her edit her own biography paragraph in either note.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