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Publication odds for the public-records paper, and what raises them</w:t>
      </w:r>
    </w:p>
    <w:p>
      <w:pPr>
        <w:spacing w:after="140"/>
      </w:pPr>
      <w:r>
        <w:rPr>
          <w:b/>
        </w:rPr>
        <w:t xml:space="preserve">Assessed 2026-08-08. Reasoned judgment, not a measured rate.</w:t>
      </w:r>
    </w:p>
    <w:p>
      <w:pPr>
        <w:pStyle w:val="Heading2"/>
        <w:spacing w:after="140"/>
      </w:pPr>
      <w:r>
        <w:t xml:space="preserve">The number</w:t>
      </w:r>
    </w:p>
    <w:p>
      <w:pPr>
        <w:spacing w:after="140"/>
      </w:pPr>
      <w:r>
        <w:rPr>
          <w:b/>
        </w:rPr>
        <w:t xml:space="preserve">Roughly 8 in 10 that the Journal of Civic Information accepts it, most likely after one round of revisions.</w:t>
      </w:r>
    </w:p>
    <w:p>
      <w:pPr>
        <w:spacing w:after="140"/>
      </w:pPr>
      <w:r>
        <w:rPr>
          <w:b/>
        </w:rPr>
        <w:t xml:space="preserve">Roughly 9 in 10 that it is published somewhere on the ladder within six months.</w:t>
      </w:r>
    </w:p>
    <w:p>
      <w:pPr>
        <w:spacing w:after="140"/>
      </w:pPr>
      <w:r>
        <w:t xml:space="preserve">Both figures assume the manuscript goes as it currently stands, with Stacy Young as first author.</w:t>
      </w:r>
    </w:p>
    <w:p>
      <w:pPr>
        <w:pStyle w:val="Heading2"/>
        <w:spacing w:after="140"/>
      </w:pPr>
      <w:r>
        <w:t xml:space="preserve">Why it is that high</w:t>
      </w:r>
    </w:p>
    <w:p>
      <w:pPr>
        <w:spacing w:after="140"/>
      </w:pPr>
      <w:r>
        <w:rPr>
          <w:b/>
        </w:rPr>
        <w:t xml:space="preserve">The venue fit is exact, not approximate.</w:t>
      </w:r>
      <w:r>
        <w:t xml:space="preserve"> The Journal of Civic Information exists for empirical work on FOIA, public records and transparency in government. This is empirical work on FOIA, public records and transparency in government, written by a serving Deputy Records Access Officer at a major city agency. Journals with a defined practitioner audience accept at materially higher rates than general social-science journals, because the pool of qualifying submissions is small and the editors want the field populated.</w:t>
      </w:r>
    </w:p>
    <w:p>
      <w:pPr>
        <w:spacing w:after="140"/>
      </w:pPr>
      <w:r>
        <w:rPr>
          <w:b/>
        </w:rPr>
        <w:t xml:space="preserve">The first author is the reader they publish for.</w:t>
      </w:r>
      <w:r>
        <w:t xml:space="preserve"> Twenty-two years in New York City public-records administration, currently running FOIL operations for a large city agency. That is not a credential the paper leans on for its argument, and it does not need to be. It is the reason an editor takes the submission seriously in the first thirty seconds.</w:t>
      </w:r>
    </w:p>
    <w:p>
      <w:pPr>
        <w:spacing w:after="140"/>
      </w:pPr>
      <w:r>
        <w:rPr>
          <w:b/>
        </w:rPr>
        <w:t xml:space="preserve">There are three positive findings, not one.</w:t>
      </w:r>
      <w:r>
        <w:t xml:space="preserve"> Convergent validity at five of five against independent government auditors. Construct validity at p = 0.00028 from contemporaneous notes. Discriminant validity at p = 0.00466 from a structural feature of the sources, which confirms the second finding without relying on the reviewer's own words. A paper with one finding is a note. A paper with three that point the same way is a study.</w:t>
      </w:r>
    </w:p>
    <w:p>
      <w:pPr>
        <w:spacing w:after="140"/>
      </w:pPr>
      <w:r>
        <w:rPr>
          <w:b/>
        </w:rPr>
        <w:t xml:space="preserve">The null is a strength here, not a liability.</w:t>
      </w:r>
      <w:r>
        <w:t xml:space="preserve"> The specification check against appellate outcome is reported plainly at p = 1.000. Referees are trained to distrust papers where everything works. A paper that reports what did not work, explains why, and then tests that explanation reads as honest rather than lucky.</w:t>
      </w:r>
    </w:p>
    <w:p>
      <w:pPr>
        <w:spacing w:after="140"/>
      </w:pPr>
      <w:r>
        <w:rPr>
          <w:b/>
        </w:rPr>
        <w:t xml:space="preserve">The explanation for the null is now evidence rather than argument.</w:t>
      </w:r>
      <w:r>
        <w:t xml:space="preserve"> Section 5.6 cites the employment corpus, where the same instrument does show the outcome association at p = 0.041 in a case set that is not filtered by publication practice. That converts the weakest passage in the paper into a boundary condition with data on both sides.</w:t>
      </w:r>
    </w:p>
    <w:p>
      <w:pPr>
        <w:spacing w:after="140"/>
      </w:pPr>
      <w:r>
        <w:rPr>
          <w:b/>
        </w:rPr>
        <w:t xml:space="preserve">Everything is checkable.</w:t>
      </w:r>
      <w:r>
        <w:t xml:space="preserve"> Thirty-two cases, thirty-two distinct public sources, every one carrying a URL. An analysis script that reproduces every figure using only the standard library, carrying the note-coding frame case by case so a referee can audit the Section 5.3 coding themselves. Referees reward work they can verify without asking for anything.</w:t>
      </w:r>
    </w:p>
    <w:p>
      <w:pPr>
        <w:spacing w:after="140"/>
      </w:pPr>
      <w:r>
        <w:rPr>
          <w:b/>
        </w:rPr>
        <w:t xml:space="preserve">The timing is live.</w:t>
      </w:r>
      <w:r>
        <w:t xml:space="preserve"> The Chief FOIA Officers Council opened a government-wide FOIA technology inventory on 28 May 2026. The paper answers the question that inventory does not, and says so in the second paragraph. Editors weigh currency.</w:t>
      </w:r>
    </w:p>
    <w:p>
      <w:pPr>
        <w:spacing w:after="140"/>
      </w:pPr>
      <w:r>
        <w:rPr>
          <w:b/>
        </w:rPr>
        <w:t xml:space="preserve">No fee, no gate.</w:t>
      </w:r>
      <w:r>
        <w:t xml:space="preserve"> No article processing charge stands between acceptance and publication.</w:t>
      </w:r>
    </w:p>
    <w:p>
      <w:pPr>
        <w:pStyle w:val="Heading2"/>
        <w:spacing w:after="140"/>
      </w:pPr>
      <w:r>
        <w:t xml:space="preserve">What holds it below 9 in 10 at this venue</w:t>
      </w:r>
    </w:p>
    <w:p>
      <w:pPr>
        <w:spacing w:after="140"/>
      </w:pPr>
      <w:r>
        <w:rPr>
          <w:b/>
        </w:rPr>
        <w:t xml:space="preserve">Single-reviewer reads.</w:t>
      </w:r>
      <w:r>
        <w:t xml:space="preserve"> All 32 reads and all 28 basis notes are Stacy's. No inter-rater agreement is estimated. This is the one weakness a referee is certain to name, and it is named in Limitations before they can.</w:t>
      </w:r>
    </w:p>
    <w:p>
      <w:pPr>
        <w:spacing w:after="140"/>
      </w:pPr>
      <w:r>
        <w:rPr>
          <w:b/>
        </w:rPr>
        <w:t xml:space="preserve">Non-random case selection.</w:t>
      </w:r>
      <w:r>
        <w:t xml:space="preserve"> Cases were chosen by the domain reviewer from published sources.</w:t>
      </w:r>
    </w:p>
    <w:p>
      <w:pPr>
        <w:spacing w:after="140"/>
      </w:pPr>
      <w:r>
        <w:rPr>
          <w:b/>
        </w:rPr>
        <w:t xml:space="preserve">Post-hoc note coding.</w:t>
      </w:r>
      <w:r>
        <w:t xml:space="preserve"> The Section 5.3 coding was done after the fact, and is labelled as such in four places.</w:t>
      </w:r>
    </w:p>
    <w:p>
      <w:pPr>
        <w:spacing w:after="140"/>
      </w:pPr>
      <w:r>
        <w:rPr>
          <w:b/>
        </w:rPr>
        <w:t xml:space="preserve">The cross-domain result is not this paper's.</w:t>
      </w:r>
      <w:r>
        <w:t xml:space="preserve"> It belongs to the employment manuscript and is cited, correctly, as external.</w:t>
      </w:r>
    </w:p>
    <w:p>
      <w:pPr>
        <w:pStyle w:val="Heading2"/>
        <w:spacing w:after="140"/>
      </w:pPr>
      <w:r>
        <w:t xml:space="preserve">The one action that moves it to about 9 in 10</w:t>
      </w:r>
    </w:p>
    <w:p>
      <w:pPr>
        <w:spacing w:after="140"/>
      </w:pPr>
      <w:r>
        <w:rPr>
          <w:b/>
        </w:rPr>
        <w:t xml:space="preserve">A second reader on ten cases.</w:t>
      </w:r>
    </w:p>
    <w:p>
      <w:pPr>
        <w:spacing w:after="140"/>
      </w:pPr>
      <w:r>
        <w:t xml:space="preserve">If one colleague re-reads ten of the 32 cases blind and records their own read, the paper can report inter-rater agreement with a chance-corrected coefficient. That single addition removes the objection every referee will raise, and it costs one person an afternoon. It is the highest-return hour available anywhere in this project right now.</w:t>
      </w:r>
    </w:p>
    <w:p>
      <w:pPr>
        <w:spacing w:after="140"/>
      </w:pPr>
      <w:r>
        <w:t xml:space="preserve">Second in value, and nearly free: post the analysis script and the case list to OSF before submission and cite the DOI in the manuscript. Open materials are weighted positively at this kind of venue and cost nothing but an upload.</w:t>
      </w:r>
    </w:p>
    <w:p>
      <w:pPr>
        <w:pStyle w:val="Heading2"/>
        <w:spacing w:after="140"/>
      </w:pPr>
      <w:r>
        <w:t xml:space="preserve">If the Journal of Civic Information passes</w:t>
      </w:r>
    </w:p>
    <w:p>
      <w:pPr>
        <w:spacing w:after="140"/>
      </w:pPr>
      <w:r>
        <w:t xml:space="preserve">The order, and the reason for each.</w:t>
      </w:r>
    </w:p>
    <w:p>
      <w:pPr>
        <w:numPr>
          <w:ilvl w:val="0"/>
          <w:numId w:val="2"/>
        </w:numPr>
        <w:spacing w:after="60"/>
      </w:pPr>
      <w:r>
        <w:rPr>
          <w:b/>
        </w:rPr>
        <w:t xml:space="preserve">Government Information Quarterly.</w:t>
      </w:r>
      <w:r>
        <w:t xml:space="preserve"> Larger audience, longer review, harder acceptance, but this paper's subject sits inside its scope.</w:t>
      </w:r>
    </w:p>
    <w:p>
      <w:pPr>
        <w:numPr>
          <w:ilvl w:val="0"/>
          <w:numId w:val="2"/>
        </w:numPr>
        <w:spacing w:after="60"/>
      </w:pPr>
      <w:r>
        <w:rPr>
          <w:b/>
        </w:rPr>
        <w:t xml:space="preserve">Journal of Open Government / open-government practitioner venues.</w:t>
      </w:r>
      <w:r>
        <w:t xml:space="preserve"> Fit is good, reach is smaller.</w:t>
      </w:r>
    </w:p>
    <w:p>
      <w:pPr>
        <w:numPr>
          <w:ilvl w:val="0"/>
          <w:numId w:val="2"/>
        </w:numPr>
        <w:spacing w:after="60"/>
      </w:pPr>
      <w:r>
        <w:rPr>
          <w:b/>
        </w:rPr>
        <w:t xml:space="preserve">The IRE or NFOIC practitioner channels.</w:t>
      </w:r>
      <w:r>
        <w:t xml:space="preserve"> Not peer-reviewed, but the audience is exactly the one the work is for, and a practitioner placement supports the Council submission.</w:t>
      </w:r>
    </w:p>
    <w:p>
      <w:pPr>
        <w:spacing w:after="140"/>
      </w:pPr>
      <w:r>
        <w:t xml:space="preserve">The Chief FOIA Officers Council submission runs in parallel and does not depend on any of this. A federal inventory citing the work is worth more than the journal line, and it has no referee.</w:t>
      </w:r>
    </w:p>
    <w:p>
      <w:pPr>
        <w:pStyle w:val="Heading2"/>
        <w:spacing w:after="140"/>
      </w:pPr>
      <w:r>
        <w:t xml:space="preserve">Bottom line</w:t>
      </w:r>
    </w:p>
    <w:p>
      <w:pPr>
        <w:spacing w:after="140"/>
      </w:pPr>
      <w:r>
        <w:t xml:space="preserve">Send it. Ask Stacy for the second reader in the same message. If she finds one, submit with inter-rater agreement and expect acceptance. If she cannot, submit anyway and state the limitation plainly, which is what the current draft already does.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