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Should you file the JRS and DRR trademark applications?</w:t>
      </w:r>
    </w:p>
    <w:p>
      <w:pPr>
        <w:spacing w:after="140"/>
      </w:pPr>
      <w:r>
        <w:rPr>
          <w:b/>
        </w:rPr>
        <w:t xml:space="preserve">Prepared 2026-08-12. Traction figures read live from production the same day. Fees verified against uspto.gov.</w:t>
      </w:r>
    </w:p>
    <w:p>
      <w:pPr>
        <w:pBdr>
          <w:bottom w:val="single" w:sz="6" w:space="1" w:color="AAAAAA"/>
        </w:pBdr>
      </w:pPr>
    </w:p>
    <w:p>
      <w:pPr>
        <w:pStyle w:val="Heading2"/>
        <w:spacing w:after="140"/>
      </w:pPr>
      <w:r>
        <w:t xml:space="preserve">Short answer</w:t>
      </w:r>
    </w:p>
    <w:p>
      <w:pPr>
        <w:spacing w:after="140"/>
      </w:pPr>
      <w:r>
        <w:rPr>
          <w:b/>
        </w:rPr>
        <w:t xml:space="preserve">Yes, file. But file $700 worth, not $1,050. Both marks in Class 042 only. Drop Class 035.</w:t>
      </w:r>
    </w:p>
    <w:p>
      <w:pPr>
        <w:spacing w:after="140"/>
      </w:pPr>
      <w:r>
        <w:t xml:space="preserve">This corrects my earlier recommendation, which was to file JRS in both 042 and 035. The reason for the change is in section 4 and it is a real legal point, not a cost trim.</w:t>
      </w:r>
    </w:p>
    <w:p>
      <w:pPr>
        <w:pBdr>
          <w:bottom w:val="single" w:sz="6" w:space="1" w:color="AAAAAA"/>
        </w:pBdr>
      </w:pPr>
    </w:p>
    <w:p>
      <w:pPr>
        <w:pStyle w:val="Heading2"/>
        <w:spacing w:after="140"/>
      </w:pPr>
      <w:r>
        <w:t xml:space="preserve">1. What a trademark actually gives you, in plain English</w:t>
      </w:r>
    </w:p>
    <w:p>
      <w:pPr>
        <w:spacing w:after="140"/>
      </w:pPr>
      <w:r>
        <w:t xml:space="preserve">A trademark protects </w:t>
      </w:r>
      <w:r>
        <w:rPr>
          <w:b/>
        </w:rPr>
        <w:t xml:space="preserve">a name used to sell something</w:t>
      </w:r>
      <w:r>
        <w:t xml:space="preserve">. Nothing else.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It protects</w:t>
            </w:r>
          </w:p>
        </w:tc>
        <w:tc>
          <w:tcPr>
            <w:tcW w:w="4680" w:type="dxa"/>
          </w:tcPr>
          <w:p>
            <w:pPr>
              <w:spacing w:after="0"/>
            </w:pPr>
            <w:r>
              <w:t xml:space="preserve">It does not protect</w:t>
            </w:r>
          </w:p>
        </w:tc>
      </w:tr>
      <w:tr>
        <w:tc>
          <w:tcPr>
            <w:tcW w:w="4680" w:type="dxa"/>
          </w:tcPr>
          <w:p>
            <w:pPr>
              <w:spacing w:after="0"/>
            </w:pPr>
            <w:r>
              <w:t xml:space="preserve">The name "JRS" on records-review services</w:t>
            </w:r>
          </w:p>
        </w:tc>
        <w:tc>
          <w:tcPr>
            <w:tcW w:w="4680" w:type="dxa"/>
          </w:tcPr>
          <w:p>
            <w:pPr>
              <w:spacing w:after="0"/>
            </w:pPr>
            <w:r>
              <w:t xml:space="preserve">The standard itself</w:t>
            </w:r>
          </w:p>
        </w:tc>
      </w:tr>
      <w:tr>
        <w:tc>
          <w:tcPr>
            <w:tcW w:w="4680" w:type="dxa"/>
          </w:tcPr>
          <w:p>
            <w:pPr>
              <w:spacing w:after="0"/>
            </w:pPr>
            <w:r>
              <w:t xml:space="preserve">The name "DRR" on those services</w:t>
            </w:r>
          </w:p>
        </w:tc>
        <w:tc>
          <w:tcPr>
            <w:tcW w:w="4680" w:type="dxa"/>
          </w:tcPr>
          <w:p>
            <w:pPr>
              <w:spacing w:after="0"/>
            </w:pPr>
            <w:r>
              <w:t xml:space="preserve">The methodology or the five conditions</w:t>
            </w:r>
          </w:p>
        </w:tc>
      </w:tr>
      <w:tr>
        <w:tc>
          <w:tcPr>
            <w:tcW w:w="4680" w:type="dxa"/>
          </w:tcPr>
          <w:p>
            <w:pPr>
              <w:spacing w:after="0"/>
            </w:pPr>
            <w:r>
              <w:t xml:space="preserve">Your right to stop a competitor calling their product JRS</w:t>
            </w:r>
          </w:p>
        </w:tc>
        <w:tc>
          <w:tcPr>
            <w:tcW w:w="4680" w:type="dxa"/>
          </w:tcPr>
          <w:p>
            <w:pPr>
              <w:spacing w:after="0"/>
            </w:pPr>
            <w:r>
              <w:t xml:space="preserve">The research papers, which copyright already covers automatically</w:t>
            </w:r>
          </w:p>
        </w:tc>
      </w:tr>
      <w:tr>
        <w:tc>
          <w:tcPr>
            <w:tcW w:w="4680" w:type="dxa"/>
          </w:tcPr>
          <w:p>
            <w:pPr>
              <w:spacing w:after="0"/>
            </w:pPr>
            <w:r>
              <w:t/>
            </w:r>
          </w:p>
        </w:tc>
        <w:tc>
          <w:tcPr>
            <w:tcW w:w="4680" w:type="dxa"/>
          </w:tcPr>
          <w:p>
            <w:pPr>
              <w:spacing w:after="0"/>
            </w:pPr>
            <w:r>
              <w:t xml:space="preserve">The reviewer data, the domain, or the corpus</w:t>
            </w:r>
          </w:p>
        </w:tc>
      </w:tr>
    </w:tbl>
    <w:p>
      <w:pPr/>
      <w:r>
        <w:t/>
      </w:r>
    </w:p>
    <w:p>
      <w:pPr>
        <w:spacing w:after="140"/>
      </w:pPr>
      <w:r>
        <w:rPr>
          <w:b/>
        </w:rPr>
        <w:t xml:space="preserve">This is the single most important thing to understand before spending money.</w:t>
      </w:r>
      <w:r>
        <w:t xml:space="preserve"> People file trademarks believing they are protecting their invention. They are not. If someone reads your standard, implements it exactly, and calls it something else, a trademark stops none of that.</w:t>
      </w:r>
    </w:p>
    <w:p>
      <w:pPr>
        <w:spacing w:after="140"/>
      </w:pPr>
      <w:r>
        <w:rPr>
          <w:b/>
        </w:rPr>
        <w:t xml:space="preserve">What you own that has value is the research, the 32-reviewer evidence base across 16 countries, the method, and the domain. The trademark is a label on the outside of that box.</w:t>
      </w:r>
    </w:p>
    <w:p>
      <w:pPr>
        <w:pBdr>
          <w:bottom w:val="single" w:sz="6" w:space="1" w:color="AAAAAA"/>
        </w:pBdr>
      </w:pPr>
    </w:p>
    <w:p>
      <w:pPr>
        <w:pStyle w:val="Heading2"/>
        <w:spacing w:after="140"/>
      </w:pPr>
      <w:r>
        <w:t xml:space="preserve">2. Your position, stated honestly</w:t>
      </w:r>
    </w:p>
    <w:p>
      <w:pPr>
        <w:spacing w:after="140"/>
      </w:pPr>
      <w:r>
        <w:t xml:space="preserve">You have never sold anything. You dropped commercialization to do research. Read live from production today: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Revenue</w:t>
            </w:r>
          </w:p>
        </w:tc>
        <w:tc>
          <w:tcPr>
            <w:tcW w:w="4680" w:type="dxa"/>
          </w:tcPr>
          <w:p>
            <w:pPr>
              <w:spacing w:after="0"/>
            </w:pPr>
            <w:r>
              <w:rPr>
                <w:b/>
              </w:rPr>
              <w:t xml:space="preserve">$0</w:t>
            </w:r>
            <w:r>
              <w:t xml:space="preserve">. There is no payment surface anywhere on the site</w:t>
            </w:r>
          </w:p>
        </w:tc>
      </w:tr>
      <w:tr>
        <w:tc>
          <w:tcPr>
            <w:tcW w:w="4680" w:type="dxa"/>
          </w:tcPr>
          <w:p>
            <w:pPr>
              <w:spacing w:after="0"/>
            </w:pPr>
            <w:r>
              <w:t xml:space="preserve">Organization pilots</w:t>
            </w:r>
          </w:p>
        </w:tc>
        <w:tc>
          <w:tcPr>
            <w:tcW w:w="4680" w:type="dxa"/>
          </w:tcPr>
          <w:p>
            <w:pPr>
              <w:spacing w:after="0"/>
            </w:pPr>
            <w:r>
              <w:rPr>
                <w:b/>
              </w:rPr>
              <w:t xml:space="preserve">0</w:t>
            </w:r>
            <w:r>
              <w:t xml:space="preserve"> organizations, 0 sessions, 0 records run</w:t>
            </w:r>
          </w:p>
        </w:tc>
      </w:tr>
      <w:tr>
        <w:tc>
          <w:tcPr>
            <w:tcW w:w="4680" w:type="dxa"/>
          </w:tcPr>
          <w:p>
            <w:pPr>
              <w:spacing w:after="0"/>
            </w:pPr>
            <w:r>
              <w:t xml:space="preserve">Completed reviewer evaluations</w:t>
            </w:r>
          </w:p>
        </w:tc>
        <w:tc>
          <w:tcPr>
            <w:tcW w:w="4680" w:type="dxa"/>
          </w:tcPr>
          <w:p>
            <w:pPr>
              <w:spacing w:after="0"/>
            </w:pPr>
            <w:r>
              <w:rPr>
                <w:b/>
              </w:rPr>
              <w:t xml:space="preserve">0</w:t>
            </w:r>
          </w:p>
        </w:tc>
      </w:tr>
      <w:tr>
        <w:tc>
          <w:tcPr>
            <w:tcW w:w="4680" w:type="dxa"/>
          </w:tcPr>
          <w:p>
            <w:pPr>
              <w:spacing w:after="0"/>
            </w:pPr>
            <w:r>
              <w:t xml:space="preserve">Named supporters</w:t>
            </w:r>
          </w:p>
        </w:tc>
        <w:tc>
          <w:tcPr>
            <w:tcW w:w="4680" w:type="dxa"/>
          </w:tcPr>
          <w:p>
            <w:pPr>
              <w:spacing w:after="0"/>
            </w:pPr>
            <w:r>
              <w:rPr>
                <w:b/>
              </w:rPr>
              <w:t xml:space="preserve">3</w:t>
            </w:r>
          </w:p>
        </w:tc>
      </w:tr>
      <w:tr>
        <w:tc>
          <w:tcPr>
            <w:tcW w:w="4680" w:type="dxa"/>
          </w:tcPr>
          <w:p>
            <w:pPr>
              <w:spacing w:after="0"/>
            </w:pPr>
            <w:r>
              <w:t xml:space="preserve">Endorsement clicks</w:t>
            </w:r>
          </w:p>
        </w:tc>
        <w:tc>
          <w:tcPr>
            <w:tcW w:w="4680" w:type="dxa"/>
          </w:tcPr>
          <w:p>
            <w:pPr>
              <w:spacing w:after="0"/>
            </w:pPr>
            <w:r>
              <w:t xml:space="preserve">49 across 8 countries (link hits, not 49 people)</w:t>
            </w:r>
          </w:p>
        </w:tc>
      </w:tr>
      <w:tr>
        <w:tc>
          <w:tcPr>
            <w:tcW w:w="4680" w:type="dxa"/>
          </w:tcPr>
          <w:p>
            <w:pPr>
              <w:spacing w:after="0"/>
            </w:pPr>
            <w:r>
              <w:t xml:space="preserve">Reviewers who completed a full study set</w:t>
            </w:r>
          </w:p>
        </w:tc>
        <w:tc>
          <w:tcPr>
            <w:tcW w:w="4680" w:type="dxa"/>
          </w:tcPr>
          <w:p>
            <w:pPr>
              <w:spacing w:after="0"/>
            </w:pPr>
            <w:r>
              <w:rPr>
                <w:b/>
              </w:rPr>
              <w:t xml:space="preserve">32, across 16 countries</w:t>
            </w:r>
          </w:p>
        </w:tc>
      </w:tr>
    </w:tbl>
    <w:p>
      <w:pPr/>
      <w:r>
        <w:t/>
      </w:r>
    </w:p>
    <w:p>
      <w:pPr>
        <w:spacing w:after="140"/>
      </w:pPr>
      <w:r>
        <w:rPr>
          <w:b/>
        </w:rPr>
        <w:t xml:space="preserve">That last line is the real asset.</w:t>
      </w:r>
      <w:r>
        <w:t xml:space="preserve"> The rest is why a use-based trademark application is impossible and an intent-to-use application is the only route.</w:t>
      </w:r>
    </w:p>
    <w:p>
      <w:pPr>
        <w:pBdr>
          <w:bottom w:val="single" w:sz="6" w:space="1" w:color="AAAAAA"/>
        </w:pBdr>
      </w:pPr>
    </w:p>
    <w:p>
      <w:pPr>
        <w:pStyle w:val="Heading2"/>
        <w:spacing w:after="140"/>
      </w:pPr>
      <w:r>
        <w:t xml:space="preserve">3. The cost, with nothing hidden</w:t>
      </w:r>
    </w:p>
    <w:p>
      <w:pPr>
        <w:pStyle w:val="Heading3"/>
        <w:spacing w:after="140"/>
      </w:pPr>
      <w:r>
        <w:t xml:space="preserve">Filing, both marks, Class 042 only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Item</w:t>
            </w:r>
          </w:p>
        </w:tc>
        <w:tc>
          <w:tcPr>
            <w:tcW w:w="4680" w:type="dxa"/>
          </w:tcPr>
          <w:p>
            <w:pPr>
              <w:spacing w:after="0"/>
            </w:pPr>
            <w:r>
              <w:t xml:space="preserve">Cost</w:t>
            </w:r>
          </w:p>
        </w:tc>
      </w:tr>
      <w:tr>
        <w:tc>
          <w:tcPr>
            <w:tcW w:w="4680" w:type="dxa"/>
          </w:tcPr>
          <w:p>
            <w:pPr>
              <w:spacing w:after="0"/>
            </w:pPr>
            <w:r>
              <w:t xml:space="preserve">JRS, Class 042</w:t>
            </w:r>
          </w:p>
        </w:tc>
        <w:tc>
          <w:tcPr>
            <w:tcW w:w="4680" w:type="dxa"/>
          </w:tcPr>
          <w:p>
            <w:pPr>
              <w:spacing w:after="0"/>
            </w:pPr>
            <w:r>
              <w:t xml:space="preserve">$350</w:t>
            </w:r>
          </w:p>
        </w:tc>
      </w:tr>
      <w:tr>
        <w:tc>
          <w:tcPr>
            <w:tcW w:w="4680" w:type="dxa"/>
          </w:tcPr>
          <w:p>
            <w:pPr>
              <w:spacing w:after="0"/>
            </w:pPr>
            <w:r>
              <w:t xml:space="preserve">DRR, Class 042</w:t>
            </w:r>
          </w:p>
        </w:tc>
        <w:tc>
          <w:tcPr>
            <w:tcW w:w="4680" w:type="dxa"/>
          </w:tcPr>
          <w:p>
            <w:pPr>
              <w:spacing w:after="0"/>
            </w:pPr>
            <w:r>
              <w:t xml:space="preserve">$350</w:t>
            </w:r>
          </w:p>
        </w:tc>
      </w:tr>
      <w:tr>
        <w:tc>
          <w:tcPr>
            <w:tcW w:w="4680" w:type="dxa"/>
          </w:tcPr>
          <w:p>
            <w:pPr>
              <w:spacing w:after="0"/>
            </w:pPr>
            <w:r>
              <w:rPr>
                <w:b/>
              </w:rPr>
              <w:t xml:space="preserve">To file</w:t>
            </w:r>
          </w:p>
        </w:tc>
        <w:tc>
          <w:tcPr>
            <w:tcW w:w="4680" w:type="dxa"/>
          </w:tcPr>
          <w:p>
            <w:pPr>
              <w:spacing w:after="0"/>
            </w:pPr>
            <w:r>
              <w:rPr>
                <w:b/>
              </w:rPr>
              <w:t xml:space="preserve">$700</w:t>
            </w:r>
          </w:p>
        </w:tc>
      </w:tr>
    </w:tbl>
    <w:p>
      <w:pPr/>
      <w:r>
        <w:t/>
      </w:r>
    </w:p>
    <w:p>
      <w:pPr>
        <w:pStyle w:val="Heading3"/>
        <w:spacing w:after="140"/>
      </w:pPr>
      <w:r>
        <w:t xml:space="preserve">What it costs to actually finish</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Stage</w:t>
            </w:r>
          </w:p>
        </w:tc>
        <w:tc>
          <w:tcPr>
            <w:tcW w:w="3120" w:type="dxa"/>
          </w:tcPr>
          <w:p>
            <w:pPr>
              <w:spacing w:after="0"/>
            </w:pPr>
            <w:r>
              <w:t xml:space="preserve">Cost</w:t>
            </w:r>
          </w:p>
        </w:tc>
        <w:tc>
          <w:tcPr>
            <w:tcW w:w="3120" w:type="dxa"/>
          </w:tcPr>
          <w:p>
            <w:pPr>
              <w:spacing w:after="0"/>
            </w:pPr>
            <w:r>
              <w:t xml:space="preserve">When</w:t>
            </w:r>
          </w:p>
        </w:tc>
      </w:tr>
      <w:tr>
        <w:tc>
          <w:tcPr>
            <w:tcW w:w="3120" w:type="dxa"/>
          </w:tcPr>
          <w:p>
            <w:pPr>
              <w:spacing w:after="0"/>
            </w:pPr>
            <w:r>
              <w:t xml:space="preserve">Filing</w:t>
            </w:r>
          </w:p>
        </w:tc>
        <w:tc>
          <w:tcPr>
            <w:tcW w:w="3120" w:type="dxa"/>
          </w:tcPr>
          <w:p>
            <w:pPr>
              <w:spacing w:after="0"/>
            </w:pPr>
            <w:r>
              <w:t xml:space="preserve">$700</w:t>
            </w:r>
          </w:p>
        </w:tc>
        <w:tc>
          <w:tcPr>
            <w:tcW w:w="3120" w:type="dxa"/>
          </w:tcPr>
          <w:p>
            <w:pPr>
              <w:spacing w:after="0"/>
            </w:pPr>
            <w:r>
              <w:t xml:space="preserve">now</w:t>
            </w:r>
          </w:p>
        </w:tc>
      </w:tr>
      <w:tr>
        <w:tc>
          <w:tcPr>
            <w:tcW w:w="3120" w:type="dxa"/>
          </w:tcPr>
          <w:p>
            <w:pPr>
              <w:spacing w:after="0"/>
            </w:pPr>
            <w:r>
              <w:t xml:space="preserve">Statement of Use, $150 per class</w:t>
            </w:r>
          </w:p>
        </w:tc>
        <w:tc>
          <w:tcPr>
            <w:tcW w:w="3120" w:type="dxa"/>
          </w:tcPr>
          <w:p>
            <w:pPr>
              <w:spacing w:after="0"/>
            </w:pPr>
            <w:r>
              <w:t xml:space="preserve">$300</w:t>
            </w:r>
          </w:p>
        </w:tc>
        <w:tc>
          <w:tcPr>
            <w:tcW w:w="3120" w:type="dxa"/>
          </w:tcPr>
          <w:p>
            <w:pPr>
              <w:spacing w:after="0"/>
            </w:pPr>
            <w:r>
              <w:t xml:space="preserve">once you or a buyer use the marks</w:t>
            </w:r>
          </w:p>
        </w:tc>
      </w:tr>
      <w:tr>
        <w:tc>
          <w:tcPr>
            <w:tcW w:w="3120" w:type="dxa"/>
          </w:tcPr>
          <w:p>
            <w:pPr>
              <w:spacing w:after="0"/>
            </w:pPr>
            <w:r>
              <w:rPr>
                <w:b/>
              </w:rPr>
              <w:t xml:space="preserve">Best case total</w:t>
            </w:r>
          </w:p>
        </w:tc>
        <w:tc>
          <w:tcPr>
            <w:tcW w:w="3120" w:type="dxa"/>
          </w:tcPr>
          <w:p>
            <w:pPr>
              <w:spacing w:after="0"/>
            </w:pPr>
            <w:r>
              <w:rPr>
                <w:b/>
              </w:rPr>
              <w:t xml:space="preserve">$1,000</w:t>
            </w:r>
          </w:p>
        </w:tc>
        <w:tc>
          <w:tcPr>
            <w:tcW w:w="3120" w:type="dxa"/>
          </w:tcPr>
          <w:p>
            <w:pPr>
              <w:spacing w:after="0"/>
            </w:pPr>
            <w:r>
              <w:t xml:space="preserve">over 1 to 2 years</w:t>
            </w:r>
          </w:p>
        </w:tc>
      </w:tr>
    </w:tbl>
    <w:p>
      <w:pPr/>
      <w:r>
        <w:t/>
      </w:r>
    </w:p>
    <w:p>
      <w:pPr>
        <w:pStyle w:val="Heading3"/>
        <w:spacing w:after="140"/>
      </w:pPr>
      <w:r>
        <w:t xml:space="preserve">What it costs if it goes badly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Risk</w:t>
            </w:r>
          </w:p>
        </w:tc>
        <w:tc>
          <w:tcPr>
            <w:tcW w:w="3120" w:type="dxa"/>
          </w:tcPr>
          <w:p>
            <w:pPr>
              <w:spacing w:after="0"/>
            </w:pPr>
            <w:r>
              <w:t xml:space="preserve">Cost</w:t>
            </w:r>
          </w:p>
        </w:tc>
        <w:tc>
          <w:tcPr>
            <w:tcW w:w="3120" w:type="dxa"/>
          </w:tcPr>
          <w:p>
            <w:pPr>
              <w:spacing w:after="0"/>
            </w:pPr>
            <w:r>
              <w:t xml:space="preserve">Likelihood</w:t>
            </w:r>
          </w:p>
        </w:tc>
      </w:tr>
      <w:tr>
        <w:tc>
          <w:tcPr>
            <w:tcW w:w="3120" w:type="dxa"/>
          </w:tcPr>
          <w:p>
            <w:pPr>
              <w:spacing w:after="0"/>
            </w:pPr>
            <w:r>
              <w:t xml:space="preserve">Office action, attorney response</w:t>
            </w:r>
          </w:p>
        </w:tc>
        <w:tc>
          <w:tcPr>
            <w:tcW w:w="3120" w:type="dxa"/>
          </w:tcPr>
          <w:p>
            <w:pPr>
              <w:spacing w:after="0"/>
            </w:pPr>
            <w:r>
              <w:t xml:space="preserve">$500 to $1,500 </w:t>
            </w:r>
            <w:r>
              <w:rPr>
                <w:b/>
              </w:rPr>
              <w:t xml:space="preserve">per mark</w:t>
            </w:r>
          </w:p>
        </w:tc>
        <w:tc>
          <w:tcPr>
            <w:tcW w:w="3120" w:type="dxa"/>
          </w:tcPr>
          <w:p>
            <w:pPr>
              <w:spacing w:after="0"/>
            </w:pPr>
            <w:r>
              <w:rPr>
                <w:b/>
              </w:rPr>
              <w:t xml:space="preserve">Moderate to high.</w:t>
            </w:r>
            <w:r>
              <w:t xml:space="preserve"> See section 5</w:t>
            </w:r>
          </w:p>
        </w:tc>
      </w:tr>
      <w:tr>
        <w:tc>
          <w:tcPr>
            <w:tcW w:w="3120" w:type="dxa"/>
          </w:tcPr>
          <w:p>
            <w:pPr>
              <w:spacing w:after="0"/>
            </w:pPr>
            <w:r>
              <w:t xml:space="preserve">Extension requests, $125 per class, every 6 months</w:t>
            </w:r>
          </w:p>
        </w:tc>
        <w:tc>
          <w:tcPr>
            <w:tcW w:w="3120" w:type="dxa"/>
          </w:tcPr>
          <w:p>
            <w:pPr>
              <w:spacing w:after="0"/>
            </w:pPr>
            <w:r>
              <w:t xml:space="preserve">$250 per round, up to 5 rounds = </w:t>
            </w:r>
            <w:r>
              <w:rPr>
                <w:b/>
              </w:rPr>
              <w:t xml:space="preserve">$1,250</w:t>
            </w:r>
          </w:p>
        </w:tc>
        <w:tc>
          <w:tcPr>
            <w:tcW w:w="3120" w:type="dxa"/>
          </w:tcPr>
          <w:p>
            <w:pPr>
              <w:spacing w:after="0"/>
            </w:pPr>
            <w:r>
              <w:rPr>
                <w:b/>
              </w:rPr>
              <w:t xml:space="preserve">High</w:t>
            </w:r>
            <w:r>
              <w:t xml:space="preserve"> if no buyer commercializes quickly</w:t>
            </w:r>
          </w:p>
        </w:tc>
      </w:tr>
      <w:tr>
        <w:tc>
          <w:tcPr>
            <w:tcW w:w="3120" w:type="dxa"/>
          </w:tcPr>
          <w:p>
            <w:pPr>
              <w:spacing w:after="0"/>
            </w:pPr>
            <w:r>
              <w:rPr>
                <w:b/>
              </w:rPr>
              <w:t xml:space="preserve">Realistic worst case</w:t>
            </w:r>
          </w:p>
        </w:tc>
        <w:tc>
          <w:tcPr>
            <w:tcW w:w="3120" w:type="dxa"/>
          </w:tcPr>
          <w:p>
            <w:pPr>
              <w:spacing w:after="0"/>
            </w:pPr>
            <w:r>
              <w:rPr>
                <w:b/>
              </w:rPr>
              <w:t xml:space="preserve">$3,000 to $4,500</w:t>
            </w:r>
          </w:p>
        </w:tc>
        <w:tc>
          <w:tcPr>
            <w:tcW w:w="3120" w:type="dxa"/>
          </w:tcPr>
          <w:p>
            <w:pPr>
              <w:spacing w:after="0"/>
            </w:pPr>
            <w:r>
              <w:t/>
            </w:r>
          </w:p>
        </w:tc>
      </w:tr>
    </w:tbl>
    <w:p>
      <w:pPr/>
      <w:r>
        <w:t/>
      </w:r>
    </w:p>
    <w:p>
      <w:pPr>
        <w:spacing w:after="140"/>
      </w:pPr>
      <w:r>
        <w:rPr>
          <w:b/>
        </w:rPr>
        <w:t xml:space="preserve">Budget $700 to start and know you may be asked for another $1,000 to $2,000 over three years.</w:t>
      </w:r>
      <w:r>
        <w:t xml:space="preserve"> Anyone who tells you the cost is $700 flat is not counting office actions.</w:t>
      </w:r>
    </w:p>
    <w:p>
      <w:pPr>
        <w:pBdr>
          <w:bottom w:val="single" w:sz="6" w:space="1" w:color="AAAAAA"/>
        </w:pBdr>
      </w:pPr>
    </w:p>
    <w:p>
      <w:pPr>
        <w:pStyle w:val="Heading2"/>
        <w:spacing w:after="140"/>
      </w:pPr>
      <w:r>
        <w:t xml:space="preserve">4. Why I changed my recommendation on Class 035</w:t>
      </w:r>
    </w:p>
    <w:p>
      <w:pPr>
        <w:spacing w:after="140"/>
      </w:pPr>
      <w:r>
        <w:t xml:space="preserve">Class 035 is business consulting and business auditing. Class 042 is technical and scientific services.</w:t>
      </w:r>
    </w:p>
    <w:p>
      <w:pPr>
        <w:spacing w:after="140"/>
      </w:pPr>
      <w:r>
        <w:t xml:space="preserve">An intent-to-use application requires you to swear a </w:t>
      </w:r>
      <w:r>
        <w:rPr>
          <w:b/>
        </w:rPr>
        <w:t xml:space="preserve">bona fide intention to use the mark in commerce</w:t>
      </w:r>
      <w:r>
        <w:t xml:space="preserve"> in every class you claim. That statement is not a formality. It can be challenged, and an application filed in a class the applicant had no genuine plan for can be attacked on exactly that ground.</w:t>
      </w:r>
    </w:p>
    <w:p>
      <w:pPr>
        <w:spacing w:after="140"/>
      </w:pPr>
      <w:r>
        <w:rPr>
          <w:b/>
        </w:rPr>
        <w:t xml:space="preserve">You told me you dropped commercialization to do research only.</w:t>
      </w:r>
      <w:r>
        <w:t xml:space="preserve"> On that record, swearing a bona fide intention to run a business-consulting practice under the JRS name is the weakest claim in the filing. It costs $350 and it adds an attackable point.</w:t>
      </w:r>
    </w:p>
    <w:p>
      <w:pPr>
        <w:spacing w:after="140"/>
      </w:pPr>
      <w:r>
        <w:rPr>
          <w:b/>
        </w:rPr>
        <w:t xml:space="preserve">Class 042 is the strong claim.</w:t>
      </w:r>
      <w:r>
        <w:t xml:space="preserve"> Your entire body of work is technical evaluation, standards development and research services. That is squarely 042.</w:t>
      </w:r>
    </w:p>
    <w:p>
      <w:pPr>
        <w:spacing w:after="140"/>
      </w:pPr>
      <w:r>
        <w:rPr>
          <w:b/>
        </w:rPr>
        <w:t xml:space="preserve">Drop 035. Save $350 and remove the weakest link at the same time.</w:t>
      </w:r>
    </w:p>
    <w:p>
      <w:pPr>
        <w:pBdr>
          <w:bottom w:val="single" w:sz="6" w:space="1" w:color="AAAAAA"/>
        </w:pBdr>
      </w:pPr>
    </w:p>
    <w:p>
      <w:pPr>
        <w:pStyle w:val="Heading2"/>
        <w:spacing w:after="140"/>
      </w:pPr>
      <w:r>
        <w:t xml:space="preserve">5. The honest risks</w:t>
      </w:r>
    </w:p>
    <w:p>
      <w:pPr>
        <w:spacing w:after="140"/>
      </w:pPr>
      <w:r>
        <w:rPr>
          <w:b/>
        </w:rPr>
        <w:t xml:space="preserve">Both marks may be refused as descriptive.</w:t>
      </w:r>
      <w:r>
        <w:t xml:space="preserve"> "Justification Review Standard" describes a standard for reviewing justifications. "Decision Reconstruction Risk" names a risk. Examining attorneys refuse marks that merely describe the thing. </w:t>
      </w:r>
      <w:r>
        <w:rPr>
          <w:b/>
        </w:rPr>
        <w:t xml:space="preserve">Filing the acronyms `JRS` and `DRR` rather than the full phrases is what makes this survivable</w:t>
      </w:r>
      <w:r>
        <w:t xml:space="preserve">, because three letters do not describe anything on their face.</w:t>
      </w:r>
    </w:p>
    <w:p>
      <w:pPr>
        <w:spacing w:after="140"/>
      </w:pPr>
      <w:r>
        <w:rPr>
          <w:b/>
        </w:rPr>
        <w:t xml:space="preserve">JRS is three letters and the field is crowded.</w:t>
      </w:r>
      <w:r>
        <w:t xml:space="preserve"> Other people own JRS in other industries. That only blocks you if their services overlap with yours, but it raises the odds of an office action.</w:t>
      </w:r>
    </w:p>
    <w:p>
      <w:pPr>
        <w:spacing w:after="140"/>
      </w:pPr>
      <w:r>
        <w:rPr>
          <w:b/>
        </w:rPr>
        <w:t xml:space="preserve">DRR is your stronger mark.</w:t>
      </w:r>
      <w:r>
        <w:t xml:space="preserve"> You coined the term. It is more distinctive and it names a concept others might adopt, which is precisely what a trademark is good at protecting.</w:t>
      </w:r>
    </w:p>
    <w:p>
      <w:pPr>
        <w:spacing w:after="140"/>
      </w:pPr>
      <w:r>
        <w:rPr>
          <w:b/>
        </w:rPr>
        <w:t xml:space="preserve">The marks lapse if nobody uses them.</w:t>
      </w:r>
      <w:r>
        <w:t xml:space="preserve"> You get 36 months from the Notice of Allowance, then the application dies and the money is gone. With $0 revenue and no commercialization plan, </w:t>
      </w:r>
      <w:r>
        <w:rPr>
          <w:b/>
        </w:rPr>
        <w:t xml:space="preserve">that clock is a genuine risk, not a formality.</w:t>
      </w:r>
    </w:p>
    <w:p>
      <w:pPr>
        <w:spacing w:after="140"/>
      </w:pPr>
      <w:r>
        <w:rPr>
          <w:b/>
        </w:rPr>
        <w:t xml:space="preserve">The assignment trap, which matters most for a sale.</w:t>
      </w:r>
      <w:r>
        <w:t xml:space="preserve"> An intent-to-use application </w:t>
      </w:r>
      <w:r>
        <w:rPr>
          <w:b/>
        </w:rPr>
        <w:t xml:space="preserve">cannot be freely sold</w:t>
      </w:r>
      <w:r>
        <w:t xml:space="preserve"> before a Statement of Use is filed. The only exception is transfer to someone acquiring the ongoing business the mark belongs to. </w:t>
      </w:r>
      <w:r>
        <w:rPr>
          <w:b/>
        </w:rPr>
        <w:t xml:space="preserve">Your sale agreement must read as a sale of the business and its assets with the applications included, not as a sale of two trademark applications.</w:t>
      </w:r>
      <w:r>
        <w:t xml:space="preserve"> Get that wrong and both applications are void. Show this paragraph to whoever drafts the agreement.</w:t>
      </w:r>
    </w:p>
    <w:p>
      <w:pPr>
        <w:pBdr>
          <w:bottom w:val="single" w:sz="6" w:space="1" w:color="AAAAAA"/>
        </w:pBdr>
      </w:pPr>
    </w:p>
    <w:p>
      <w:pPr>
        <w:pStyle w:val="Heading2"/>
        <w:spacing w:after="140"/>
      </w:pPr>
      <w:r>
        <w:t xml:space="preserve">6. The cost-benefit, stated as a decision</w:t>
      </w:r>
    </w:p>
    <w:p>
      <w:pPr>
        <w:pStyle w:val="Heading3"/>
        <w:spacing w:after="140"/>
      </w:pPr>
      <w:r>
        <w:t xml:space="preserve">The case for filing</w:t>
      </w:r>
    </w:p>
    <w:p>
      <w:pPr>
        <w:numPr>
          <w:ilvl w:val="0"/>
          <w:numId w:val="2"/>
        </w:numPr>
        <w:spacing w:after="60"/>
      </w:pPr>
      <w:r>
        <w:rPr>
          <w:b/>
        </w:rPr>
        <w:t xml:space="preserve">The priority date is the whole product, and it is cheap.</w:t>
      </w:r>
      <w:r>
        <w:t xml:space="preserve"> Filing today means your claim dates from today. If anyone else files JRS or DRR in Class 042 before you, you are blocked, and no amount of prior research fixes it. </w:t>
      </w:r>
      <w:r>
        <w:rPr>
          <w:b/>
        </w:rPr>
        <w:t xml:space="preserve">This is the only benefit that expires if you wait.</w:t>
      </w:r>
    </w:p>
    <w:p>
      <w:pPr>
        <w:numPr>
          <w:ilvl w:val="0"/>
          <w:numId w:val="2"/>
        </w:numPr>
        <w:spacing w:after="60"/>
      </w:pPr>
      <w:r>
        <w:rPr>
          <w:b/>
        </w:rPr>
        <w:t xml:space="preserve">It removes a diligence question.</w:t>
      </w:r>
      <w:r>
        <w:t xml:space="preserve"> A buyer asks "what IP protection exists?" Today the answer is "none filed". For $700 the answer becomes "two applications pending, Class 042, filed August 2026". That is a better sentence in a data room and it costs less than a day of anyone's time.</w:t>
      </w:r>
    </w:p>
    <w:p>
      <w:pPr>
        <w:numPr>
          <w:ilvl w:val="0"/>
          <w:numId w:val="2"/>
        </w:numPr>
        <w:spacing w:after="60"/>
      </w:pPr>
      <w:r>
        <w:rPr>
          <w:b/>
        </w:rPr>
        <w:t xml:space="preserve">It is proportionate.</w:t>
      </w:r>
      <w:r>
        <w:t xml:space="preserve"> You have spent a year and a large amount of unpaid effort on this programme. $700 is a rounding error against that.</w:t>
      </w:r>
    </w:p>
    <w:p>
      <w:pPr>
        <w:pStyle w:val="Heading3"/>
        <w:spacing w:after="140"/>
      </w:pPr>
      <w:r>
        <w:t xml:space="preserve">The case against filing</w:t>
      </w:r>
    </w:p>
    <w:p>
      <w:pPr>
        <w:numPr>
          <w:ilvl w:val="0"/>
          <w:numId w:val="2"/>
        </w:numPr>
        <w:spacing w:after="60"/>
      </w:pPr>
      <w:r>
        <w:rPr>
          <w:b/>
        </w:rPr>
        <w:t xml:space="preserve">A trademark cannot be used to protect what you actually built.</w:t>
      </w:r>
      <w:r>
        <w:t xml:space="preserve"> The research and the method are the asset. Copyright already covers the writing, automatically and for free.</w:t>
      </w:r>
    </w:p>
    <w:p>
      <w:pPr>
        <w:numPr>
          <w:ilvl w:val="0"/>
          <w:numId w:val="2"/>
        </w:numPr>
        <w:spacing w:after="60"/>
      </w:pPr>
      <w:r>
        <w:rPr>
          <w:b/>
        </w:rPr>
        <w:t xml:space="preserve">You have no commercial use and no plan for one.</w:t>
      </w:r>
      <w:r>
        <w:t xml:space="preserve"> A mark you never use expires. You may be buying a three-year option that lapses unworked.</w:t>
      </w:r>
    </w:p>
    <w:p>
      <w:pPr>
        <w:numPr>
          <w:ilvl w:val="0"/>
          <w:numId w:val="2"/>
        </w:numPr>
        <w:spacing w:after="60"/>
      </w:pPr>
      <w:r>
        <w:rPr>
          <w:b/>
        </w:rPr>
        <w:t xml:space="preserve">A buyer can rename.</w:t>
      </w:r>
      <w:r>
        <w:t xml:space="preserve"> If someone acquires the corpus and the method, they may prefer their own brand, in which case the marks were worth nothing to them.</w:t>
      </w:r>
    </w:p>
    <w:p>
      <w:pPr>
        <w:numPr>
          <w:ilvl w:val="0"/>
          <w:numId w:val="2"/>
        </w:numPr>
        <w:spacing w:after="60"/>
      </w:pPr>
      <w:r>
        <w:rPr>
          <w:b/>
        </w:rPr>
        <w:t xml:space="preserve">It complicates the sale you are trying to do</w:t>
      </w:r>
      <w:r>
        <w:t xml:space="preserve">, via the assignment restriction above.</w:t>
      </w:r>
    </w:p>
    <w:p>
      <w:pPr>
        <w:pStyle w:val="Heading3"/>
        <w:spacing w:after="140"/>
      </w:pPr>
      <w:r>
        <w:t xml:space="preserve">How the arithmetic actually lands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Scenario</w:t>
            </w:r>
          </w:p>
        </w:tc>
        <w:tc>
          <w:tcPr>
            <w:tcW w:w="4680" w:type="dxa"/>
          </w:tcPr>
          <w:p>
            <w:pPr>
              <w:spacing w:after="0"/>
            </w:pPr>
            <w:r>
              <w:t xml:space="preserve">Was $700 well spent?</w:t>
            </w:r>
          </w:p>
        </w:tc>
      </w:tr>
      <w:tr>
        <w:tc>
          <w:tcPr>
            <w:tcW w:w="4680" w:type="dxa"/>
          </w:tcPr>
          <w:p>
            <w:pPr>
              <w:spacing w:after="0"/>
            </w:pPr>
            <w:r>
              <w:t xml:space="preserve">You sell the asset and the buyer values the name</w:t>
            </w:r>
          </w:p>
        </w:tc>
        <w:tc>
          <w:tcPr>
            <w:tcW w:w="4680" w:type="dxa"/>
          </w:tcPr>
          <w:p>
            <w:pPr>
              <w:spacing w:after="0"/>
            </w:pPr>
            <w:r>
              <w:rPr>
                <w:b/>
              </w:rPr>
              <w:t xml:space="preserve">Yes, decisively.</w:t>
            </w:r>
            <w:r>
              <w:t xml:space="preserve"> The priority date is not reproducible after the fact</w:t>
            </w:r>
          </w:p>
        </w:tc>
      </w:tr>
      <w:tr>
        <w:tc>
          <w:tcPr>
            <w:tcW w:w="4680" w:type="dxa"/>
          </w:tcPr>
          <w:p>
            <w:pPr>
              <w:spacing w:after="0"/>
            </w:pPr>
            <w:r>
              <w:t xml:space="preserve">You sell and the buyer rebrands</w:t>
            </w:r>
          </w:p>
        </w:tc>
        <w:tc>
          <w:tcPr>
            <w:tcW w:w="4680" w:type="dxa"/>
          </w:tcPr>
          <w:p>
            <w:pPr>
              <w:spacing w:after="0"/>
            </w:pPr>
            <w:r>
              <w:rPr>
                <w:b/>
              </w:rPr>
              <w:t xml:space="preserve">Roughly neutral.</w:t>
            </w:r>
            <w:r>
              <w:t xml:space="preserve"> It still removed a diligence question during the sale</w:t>
            </w:r>
          </w:p>
        </w:tc>
      </w:tr>
      <w:tr>
        <w:tc>
          <w:tcPr>
            <w:tcW w:w="4680" w:type="dxa"/>
          </w:tcPr>
          <w:p>
            <w:pPr>
              <w:spacing w:after="0"/>
            </w:pPr>
            <w:r>
              <w:t xml:space="preserve">No sale, and you commercialize later yourself</w:t>
            </w:r>
          </w:p>
        </w:tc>
        <w:tc>
          <w:tcPr>
            <w:tcW w:w="4680" w:type="dxa"/>
          </w:tcPr>
          <w:p>
            <w:pPr>
              <w:spacing w:after="0"/>
            </w:pPr>
            <w:r>
              <w:rPr>
                <w:b/>
              </w:rPr>
              <w:t xml:space="preserve">Yes.</w:t>
            </w:r>
            <w:r>
              <w:t xml:space="preserve"> You hold priority from 2026</w:t>
            </w:r>
          </w:p>
        </w:tc>
      </w:tr>
      <w:tr>
        <w:tc>
          <w:tcPr>
            <w:tcW w:w="4680" w:type="dxa"/>
          </w:tcPr>
          <w:p>
            <w:pPr>
              <w:spacing w:after="0"/>
            </w:pPr>
            <w:r>
              <w:t xml:space="preserve">No sale, and nothing happens</w:t>
            </w:r>
          </w:p>
        </w:tc>
        <w:tc>
          <w:tcPr>
            <w:tcW w:w="4680" w:type="dxa"/>
          </w:tcPr>
          <w:p>
            <w:pPr>
              <w:spacing w:after="0"/>
            </w:pPr>
            <w:r>
              <w:rPr>
                <w:b/>
              </w:rPr>
              <w:t xml:space="preserve">No.</w:t>
            </w:r>
            <w:r>
              <w:t xml:space="preserve"> $700 spent, applications lapse in about 3 years</w:t>
            </w:r>
          </w:p>
        </w:tc>
      </w:tr>
    </w:tbl>
    <w:p>
      <w:pPr/>
      <w:r>
        <w:t/>
      </w:r>
    </w:p>
    <w:p>
      <w:pPr>
        <w:spacing w:after="140"/>
      </w:pPr>
      <w:r>
        <w:rPr>
          <w:b/>
        </w:rPr>
        <w:t xml:space="preserve">Three of four outcomes favour filing, and the one that does not costs $700.</w:t>
      </w:r>
      <w:r>
        <w:t xml:space="preserve"> The downside is capped and small. The upside, the priority date, is the one thing you cannot buy back later at any price.</w:t>
      </w:r>
    </w:p>
    <w:p>
      <w:pPr>
        <w:pBdr>
          <w:bottom w:val="single" w:sz="6" w:space="1" w:color="AAAAAA"/>
        </w:pBdr>
      </w:pPr>
    </w:p>
    <w:p>
      <w:pPr>
        <w:pStyle w:val="Heading2"/>
        <w:spacing w:after="140"/>
      </w:pPr>
      <w:r>
        <w:t xml:space="preserve">7. What I would actually do</w:t>
      </w:r>
    </w:p>
    <w:p>
      <w:pPr>
        <w:numPr>
          <w:ilvl w:val="0"/>
          <w:numId w:val="2"/>
        </w:numPr>
        <w:spacing w:after="60"/>
      </w:pPr>
      <w:r>
        <w:rPr>
          <w:b/>
        </w:rPr>
        <w:t xml:space="preserve">File both marks in Class 042 only. $700.</w:t>
      </w:r>
      <w:r>
        <w:t xml:space="preserve"> Do it before you talk to buyers, so the pending applications are already on the asset list.</w:t>
      </w:r>
    </w:p>
    <w:p>
      <w:pPr>
        <w:numPr>
          <w:ilvl w:val="0"/>
          <w:numId w:val="2"/>
        </w:numPr>
        <w:spacing w:after="60"/>
      </w:pPr>
      <w:r>
        <w:rPr>
          <w:b/>
        </w:rPr>
        <w:t xml:space="preserve">Skip Class 035</w:t>
      </w:r>
      <w:r>
        <w:t xml:space="preserve"> for the reason in section 4.</w:t>
      </w:r>
    </w:p>
    <w:p>
      <w:pPr>
        <w:numPr>
          <w:ilvl w:val="0"/>
          <w:numId w:val="2"/>
        </w:numPr>
        <w:spacing w:after="60"/>
      </w:pPr>
      <w:r>
        <w:rPr>
          <w:b/>
        </w:rPr>
        <w:t xml:space="preserve">Budget another $1,500</w:t>
      </w:r>
      <w:r>
        <w:t xml:space="preserve"> in case an office action arrives. Do not treat $700 as the final number.</w:t>
      </w:r>
    </w:p>
    <w:p>
      <w:pPr>
        <w:numPr>
          <w:ilvl w:val="0"/>
          <w:numId w:val="2"/>
        </w:numPr>
        <w:spacing w:after="60"/>
      </w:pPr>
      <w:r>
        <w:rPr>
          <w:b/>
        </w:rPr>
        <w:t xml:space="preserve">Tell your attorney about the assignment restriction before you sign anything.</w:t>
      </w:r>
      <w:r>
        <w:t xml:space="preserve"> One hour of their time on that clause is the cheapest insurance in this whole exercise.</w:t>
      </w:r>
    </w:p>
    <w:p>
      <w:pPr>
        <w:numPr>
          <w:ilvl w:val="0"/>
          <w:numId w:val="2"/>
        </w:numPr>
        <w:spacing w:after="60"/>
      </w:pPr>
      <w:r>
        <w:rPr>
          <w:b/>
        </w:rPr>
        <w:t xml:space="preserve">If a buyer appears within 60 days and wants to file under their own name, stop and let them.</w:t>
      </w:r>
      <w:r>
        <w:t xml:space="preserve"> Their filing will be stronger than yours, because they will have an actual commercial plan behind the bona fide intent statement.</w:t>
      </w:r>
    </w:p>
    <w:p>
      <w:pPr>
        <w:pBdr>
          <w:bottom w:val="single" w:sz="6" w:space="1" w:color="AAAAAA"/>
        </w:pBdr>
      </w:pPr>
    </w:p>
    <w:p>
      <w:pPr>
        <w:pStyle w:val="Heading2"/>
        <w:spacing w:after="140"/>
      </w:pPr>
      <w:r>
        <w:t xml:space="preserve">8. When you should NOT file</w:t>
      </w:r>
    </w:p>
    <w:p>
      <w:pPr>
        <w:spacing w:after="140"/>
      </w:pPr>
      <w:r>
        <w:rPr>
          <w:b/>
        </w:rPr>
        <w:t xml:space="preserve">If you are not going to complete the sale and are not going to commercialize, do not file.</w:t>
      </w:r>
      <w:r>
        <w:t xml:space="preserve"> In that case you would be paying $700 for a three-year placeholder on a name nobody will use, and the money is better spent on nothing at all.</w:t>
      </w:r>
    </w:p>
    <w:p>
      <w:pPr>
        <w:spacing w:after="140"/>
      </w:pPr>
      <w:r>
        <w:rPr>
          <w:b/>
        </w:rPr>
        <w:t xml:space="preserve">Filing is a bet that this asset finds an owner.</w:t>
      </w:r>
      <w:r>
        <w:t xml:space="preserve"> If you believe it will, $700 is cheap. If you have decided it will not, keep the money.</w:t>
      </w:r>
    </w:p>
    <w:p>
      <w:pPr>
        <w:pBdr>
          <w:bottom w:val="single" w:sz="6" w:space="1" w:color="AAAAAA"/>
        </w:pBdr>
      </w:pPr>
    </w:p>
    <w:p>
      <w:pPr>
        <w:pStyle w:val="Heading2"/>
        <w:spacing w:after="140"/>
      </w:pPr>
      <w:r>
        <w:t xml:space="preserve">9. What is still outstanding on your side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Item</w:t>
            </w:r>
          </w:p>
        </w:tc>
        <w:tc>
          <w:tcPr>
            <w:tcW w:w="4680" w:type="dxa"/>
          </w:tcPr>
          <w:p>
            <w:pPr>
              <w:spacing w:after="0"/>
            </w:pPr>
            <w:r>
              <w:t xml:space="preserve">Status</w:t>
            </w:r>
          </w:p>
        </w:tc>
      </w:tr>
      <w:tr>
        <w:tc>
          <w:tcPr>
            <w:tcW w:w="4680" w:type="dxa"/>
          </w:tcPr>
          <w:p>
            <w:pPr>
              <w:spacing w:after="0"/>
            </w:pPr>
            <w:r>
              <w:t xml:space="preserve">USPTO account plus identity verification</w:t>
            </w:r>
          </w:p>
        </w:tc>
        <w:tc>
          <w:tcPr>
            <w:tcW w:w="4680" w:type="dxa"/>
          </w:tcPr>
          <w:p>
            <w:pPr>
              <w:spacing w:after="0"/>
            </w:pPr>
            <w:r>
              <w:rPr>
                <w:b/>
              </w:rPr>
              <w:t xml:space="preserve">`[REQUIRES USER INPUT]`.</w:t>
            </w:r>
            <w:r>
              <w:t xml:space="preserve"> The only thing blocking filing. It has a waiting period, so start it first</w:t>
            </w:r>
          </w:p>
        </w:tc>
      </w:tr>
      <w:tr>
        <w:tc>
          <w:tcPr>
            <w:tcW w:w="4680" w:type="dxa"/>
          </w:tcPr>
          <w:p>
            <w:pPr>
              <w:spacing w:after="0"/>
            </w:pPr>
            <w:r>
              <w:t xml:space="preserve">Mailing address and citizenship</w:t>
            </w:r>
          </w:p>
        </w:tc>
        <w:tc>
          <w:tcPr>
            <w:tcW w:w="4680" w:type="dxa"/>
          </w:tcPr>
          <w:p>
            <w:pPr>
              <w:spacing w:after="0"/>
            </w:pPr>
            <w:r>
              <w:rPr>
                <w:b/>
              </w:rPr>
              <w:t xml:space="preserve">`[REQUIRES USER INPUT]`.</w:t>
            </w:r>
            <w:r>
              <w:t xml:space="preserve"> Needed on the form, deliberately not held in this repository</w:t>
            </w:r>
          </w:p>
        </w:tc>
      </w:tr>
      <w:tr>
        <w:tc>
          <w:tcPr>
            <w:tcW w:w="4680" w:type="dxa"/>
          </w:tcPr>
          <w:p>
            <w:pPr>
              <w:spacing w:after="0"/>
            </w:pPr>
            <w:r>
              <w:t xml:space="preserve">Conflict search in Class 042</w:t>
            </w:r>
          </w:p>
        </w:tc>
        <w:tc>
          <w:tcPr>
            <w:tcW w:w="4680" w:type="dxa"/>
          </w:tcPr>
          <w:p>
            <w:pPr>
              <w:spacing w:after="0"/>
            </w:pPr>
            <w:r>
              <w:rPr>
                <w:b/>
              </w:rPr>
              <w:t xml:space="preserve">`REQUIRES EXTERNAL VERIFICATION`.</w:t>
            </w:r>
            <w:r>
              <w:t xml:space="preserve"> Free, about 30 minutes, procedure in </w:t>
            </w:r>
            <w:r>
              <w:rPr>
                <w:rFonts w:ascii="Consolas" w:hAnsi="Consolas"/>
              </w:rPr>
              <w:t xml:space="preserve">research/TRADEMARK_FILING_STEPS_JRS_DRR.md</w:t>
            </w:r>
          </w:p>
        </w:tc>
      </w:tr>
    </w:tbl>
    <w:p>
      <w:pPr/>
      <w:r>
        <w:t/>
      </w:r>
    </w:p>
    <w:p>
      <w:pPr>
        <w:spacing w:after="140"/>
      </w:pPr>
      <w:r>
        <w:t xml:space="preserve">Step-by-step filing instructions are in </w:t>
      </w:r>
      <w:r>
        <w:rPr>
          <w:rFonts w:ascii="Consolas" w:hAnsi="Consolas"/>
        </w:rPr>
        <w:t xml:space="preserve">research/TRADEMARK_FILING_STEPS_JRS_DRR.md</w:t>
      </w:r>
      <w:r>
        <w:t xml:space="preserve">. </w:t>
      </w:r>
      <w:r>
        <w:rPr>
          <w:b/>
        </w:rPr>
        <w:t xml:space="preserve">The only change to that document is the class recommendation: 042 only, $700, not $1,050.</w:t>
      </w:r>
    </w:p>
    <w:p>
      <w:pPr>
        <w:pBdr>
          <w:bottom w:val="single" w:sz="6" w:space="1" w:color="AAAAAA"/>
        </w:pBdr>
      </w:pPr>
    </w:p>
    <w:p>
      <w:pPr>
        <w:spacing w:after="140"/>
      </w:pPr>
      <w:r>
        <w:rPr>
          <w:i/>
        </w:rPr>
        <w:t xml:space="preserve">This is procedure and commercial analysis, not legal advice. You can file an intent-to-use application yourself without a lawyer, and many people do. The two places worth paying for are a conflict search if you find something live in Class 042, and the assignment wording in the sale agreement.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