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no governance control resting on human review of documentation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raters blind to the study hypotheses.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reading a record cold, cannot tell one whose reasoning is present from one whose reasoning is absent, then documentation risk is not a governable property and no control built on human review can work.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raters blind to the hypotheses,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blinded raters, blind to that classification and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credentialed professionals drawn from the same pool and randomised within it, so the two arms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reference classification was fitted to the reviewers' responses after the fact. It does not, however, remove the construct-dependence described below, and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reviewers as a random factor and correctly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and the record component to be small and not distinguishable from zero at this sample size.</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among the expert panel of at least 0.61, </w:t>
      </w:r>
      <w:r>
        <w:rPr>
          <w:b/>
        </w:rPr>
        <w:t xml:space="preserve">with the lower bound of its confidence interval at least 0.41.</w:t>
      </w:r>
      <w:r>
        <w:t xml:space="preserve"> Both parts are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experts; the remainder are trained reviewers.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trained-reviewer coefficient is 0.623, and pooling the baseline labels in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Those participants are credentialed professionals of the same standing as the panel reported here,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an unpaired approximation returns p = 0.48.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On a shared set of 10 records carrying 113 submitted determinations under the five-condition instrument,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Trained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0.253 to 0.994</w:t>
            </w:r>
          </w:p>
        </w:tc>
        <w:tc>
          <w:tcPr>
            <w:tcW w:w="1337" w:type="dxa"/>
          </w:tcPr>
          <w:p>
            <w:pPr>
              <w:spacing w:after="0"/>
            </w:pPr>
            <w:r>
              <w:t xml:space="preserve">0.301 to 0.886</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trained-reviewer lower bound is 0.253.</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expert panel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is open; that the layer needs operationalising seems to us harder to dispute.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that those same experts vary widely among themselves, and that a pre-registered reliability criterion was not met on the sample available.</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size of the effect is small, and the dominant source of uncertainty in this study is the reviewers, not the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computed by </w:t>
      </w:r>
      <w:r>
        <w:rPr>
          <w:rFonts w:ascii="Consolas" w:hAnsi="Consolas"/>
        </w:rPr>
        <w:t xml:space="preserve">api/variance-6b1d90fa2c47e8b3</w:t>
      </w:r>
      <w:r>
        <w:t xml:space="preserve">, which reads the per-read table server-side and returns aggregates only.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expert and seventeen trained, produced the coefficients in Section 6.5 and the per-condition analysis in Appendix B, which exists only because they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