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cannot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it spans decisions from 1973 to 2026, most predating generative drafting. The question tested is whether the review distinguishes records that can independently support their conclusions from records that cannot, regardless of how they were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in this corpus often preserved quotations or other identifiable references to the underlying documentation.</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most common form here was a confident conclusion about performance or conduct,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w:t>
      </w:r>
    </w:p>
    <w:p>
      <w:pPr>
        <w:spacing w:after="140"/>
      </w:pPr>
      <w:r>
        <w:t xml:space="preserve">For AI-assisted drafting, Needs work may be the harder failure mode to detect. A Gap record looks thin to anyone who opens it. A Needs work record can read well, follow the template and still carry material claims that cannot be independently checked, making it harder to catch in routine review and more consequential when the record is later examined.</w:t>
      </w:r>
    </w:p>
    <w:p>
      <w:pPr>
        <w:pStyle w:val="Heading2"/>
        <w:spacing w:after="140"/>
      </w:pPr>
      <w:r>
        <w:t xml:space="preserve">What was tested</w:t>
      </w:r>
    </w:p>
    <w:p>
      <w:pPr>
        <w:spacing w:after="140"/>
      </w:pPr>
      <w:r>
        <w:t xml:space="preserve">Twenty-two matters were screened; 20 met the inclusion criteria and 2 were excluded. The 20 are drawn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to the extent it was reproduced or characterized in that decision.</w:t>
      </w:r>
      <w:r>
        <w:rPr>
          <w:vertAlign w:val="superscript"/>
        </w:rPr>
        <w:t xml:space="preserve">3</w:t>
      </w:r>
      <w:r>
        <w:t xml:space="preserve"> The classification was recorded before the outcome was consulted, and the outcome and citation were then entered from the decision.</w:t>
      </w:r>
    </w:p>
    <w:p>
      <w:pPr>
        <w:spacing w:after="140"/>
      </w:pPr>
      <w:r>
        <w:t xml:space="preserve">That design carries a circularity objection, and it is the first thing a careful reader should raise. The decision narrates the outcome and characterizes the employer's evidence, so the reviewer worked from a source already containing the outcome being assessed. The database stores one timestamp per case,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them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within an ordinary professional workflow.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adverse audit or compliance finding is a separate category, not included in the other three. The four categories are mutually exclusive and sum to 20.</w:t>
      </w:r>
    </w:p>
    <w:p>
      <w:pPr>
        <w:pStyle w:val="Heading2"/>
        <w:spacing w:after="140"/>
      </w:pPr>
      <w:r>
        <w:t xml:space="preserve">What was found</w:t>
      </w:r>
    </w:p>
    <w:p>
      <w:pPr>
        <w:spacing w:after="140"/>
      </w:pPr>
      <w:r>
        <w:t xml:space="preserve">Needs work and Gap are grouped, since both describe an incomplete basis. For the primary analysis, an adverse finding was recorded where the employer's position did not survive review or where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those classified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that corpus did not record outcomes.</w:t>
      </w:r>
      <w:r>
        <w:rPr>
          <w:vertAlign w:val="superscript"/>
        </w:rPr>
        <w:t xml:space="preserve">6</w:t>
      </w:r>
    </w:p>
    <w:p>
      <w:pPr>
        <w:spacing w:after="140"/>
      </w:pPr>
      <w:r>
        <w:t xml:space="preserve">Freedom-of-information determinations reach publication because a legal or access question was contested, so publication does not imply the file was typical of the broader record population. Fifteen of the 20 resolved determinations there did not survive. That distribution reflects the selection and publication process rather than providing a measure of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the results of an outcome-based test of a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may not be attached when the narrative is treated as complete without it. In audit or dispute, that absence can become the central issue, and a sound decision must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20 analyzed matters were the whole analyzed corpus, not a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is more informative than any individual file because patterned compliance becomes visible across a population.</w:t>
      </w:r>
    </w:p>
    <w:p>
      <w:pPr>
        <w:spacing w:after="140"/>
      </w:pPr>
      <w:r>
        <w:rPr>
          <w:b/>
        </w:rPr>
        <w:t xml:space="preserve">What triggers escalation?</w:t>
      </w:r>
      <w:r>
        <w:t xml:space="preserve"> A single Needs work classification can ordinarily trigger coaching or remediation. A rising rate or persistent concentration by author, business unit or decision type can warrant treatment as a control finding. Such patterns are more informative than an isolated classification, but they can be identified reliably only when individual classifications are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be interpreted as exploratory.</w:t>
      </w:r>
    </w:p>
    <w:p>
      <w:pPr>
        <w:spacing w:after="140"/>
      </w:pPr>
      <w:r>
        <w:t xml:space="preserve">It does not establish that the review improves outcomes, reduces litigation risk or increases decision quality, none of which was tested. Twenty cases reviewed by one practitioner, selected from published sources rather than sampled at random, constitute a field pilot. Published adjudications are not a random sample, since a matter reaches adjudication because something was contested.</w:t>
      </w:r>
    </w:p>
    <w:p>
      <w:pPr>
        <w:spacing w:after="140"/>
      </w:pPr>
      <w:r>
        <w:t xml:space="preserve">A larger study should broaden the corpus without regard to how matters resolved, put two reviewers on each case with the classification and outcome recorded separately, fix the treatment of unresolved contests in advance, and where feasible obtain the underlying record independently of the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and two are excluded.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it cannot be cited. Both exclusions were applied before the analysis, and both are named in appendix A so the screened set can be reconstructed. Including them produces p = 0.0073 with an odds ratio of 19.25, reported only as a sensitivity analysis because they do not meet the stated inclusion criteria.</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adverse audit or compliance outcome is a separate category, not counted among the matters that did not survive review.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proportions with an adverse finding were 75.0 percent for Needs work or Gap (6 of 8, 95 percent Wilson score interval 40.9 to 92.9 percent) and 16.7 percent for Ready (2 of 12, 95 percent Wilson score interval 4.7 to 44.8 percent). Wilson intervals are used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without modification. The matters are New York State and City sources, principally Appellate Division decisions, Committee on Open Government advisory opinions and Comptroller audits, collected from published sources between 26 June and 8 August 2026. Twenty carried a recorded disposition and are treated as resolved. Of the remaining 12, seven were contested with no disposition and five drew audit findings, a separate category here as in the employment corpus.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computed on the 20 analyzed matters: Q = 1.949 on 1 degree of freedom, p = 0.163.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