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Master System Audit and Trademark Evidence Dossier</w:t>
      </w:r>
    </w:p>
    <w:p>
      <w:pPr>
        <w:spacing w:after="140"/>
      </w:pPr>
      <w:r>
        <w:rPr>
          <w:b/>
        </w:rPr>
        <w:t xml:space="preserve">Repository:</w:t>
      </w:r>
      <w:r>
        <w:t xml:space="preserve"> </w:t>
      </w:r>
      <w:r>
        <w:rPr>
          <w:rFonts w:ascii="Consolas" w:hAnsi="Consolas"/>
        </w:rPr>
        <w:t xml:space="preserve">phillipwikes-bit/jrsstandard.com</w:t>
      </w:r>
    </w:p>
    <w:p>
      <w:pPr>
        <w:spacing w:after="140"/>
      </w:pPr>
      <w:r>
        <w:rPr>
          <w:b/>
        </w:rPr>
        <w:t xml:space="preserve">Prepared:</w:t>
      </w:r>
      <w:r>
        <w:t xml:space="preserve"> 2026-08-11</w:t>
      </w:r>
    </w:p>
    <w:p>
      <w:pPr>
        <w:spacing w:after="140"/>
      </w:pPr>
      <w:r>
        <w:rPr>
          <w:b/>
        </w:rPr>
        <w:t xml:space="preserve">Scope:</w:t>
      </w:r>
      <w:r>
        <w:t xml:space="preserve"> metric reconciliation on </w:t>
      </w:r>
      <w:r>
        <w:rPr>
          <w:rFonts w:ascii="Consolas" w:hAnsi="Consolas"/>
        </w:rPr>
        <w:t xml:space="preserve">pilot-status.html</w:t>
      </w:r>
      <w:r>
        <w:t xml:space="preserve"> and its data sources, plus a repository-evidence dossier for two marks.</w:t>
      </w:r>
    </w:p>
    <w:p>
      <w:pPr>
        <w:spacing w:after="140"/>
      </w:pPr>
      <w:r>
        <w:rPr>
          <w:b/>
        </w:rPr>
        <w:t xml:space="preserve">Nature of this document:</w:t>
      </w:r>
      <w:r>
        <w:t xml:space="preserve"> evidence preparation. It is not a legal opinion and it does not establish trademark rights.</w:t>
      </w:r>
    </w:p>
    <w:p>
      <w:pPr>
        <w:pBdr>
          <w:bottom w:val="single" w:sz="6" w:space="1" w:color="AAAAAA"/>
        </w:pBdr>
      </w:pPr>
    </w:p>
    <w:p>
      <w:pPr>
        <w:pStyle w:val="Heading2"/>
        <w:spacing w:after="140"/>
      </w:pPr>
      <w:r>
        <w:t xml:space="preserve">1. Execution summary</w:t>
      </w:r>
    </w:p>
    <w:p>
      <w:pPr>
        <w:spacing w:after="140"/>
      </w:pPr>
      <w:r>
        <w:rPr>
          <w:b/>
        </w:rPr>
        <w:t xml:space="preserve">The question that drove this audit:</w:t>
      </w:r>
      <w:r>
        <w:t xml:space="preserve"> why does every counter read zero, and where are the endorsements.</w:t>
      </w:r>
    </w:p>
    <w:p>
      <w:pPr>
        <w:spacing w:after="140"/>
      </w:pPr>
      <w:r>
        <w:rPr>
          <w:b/>
        </w:rPr>
        <w:t xml:space="preserve">Answer, established from live data:</w:t>
      </w:r>
      <w:r>
        <w:t xml:space="preserve"> the endorsement counter is working and correct. No third-party endorsement has arrived since </w:t>
      </w:r>
      <w:r>
        <w:rPr>
          <w:b/>
        </w:rPr>
        <w:t xml:space="preserve">2026-08-04</w:t>
      </w:r>
      <w:r>
        <w:t xml:space="preserve">, seven days ago. Today's 18 campaign arrivals came from a </w:t>
      </w:r>
      <w:r>
        <w:rPr>
          <w:b/>
        </w:rPr>
        <w:t xml:space="preserve">single device</w:t>
      </w:r>
      <w:r>
        <w:t xml:space="preserve">, and all 18 landed inside the window where the write was broken.</w:t>
      </w:r>
    </w:p>
    <w:p>
      <w:pPr>
        <w:pStyle w:val="Heading3"/>
        <w:spacing w:after="140"/>
      </w:pPr>
      <w:r>
        <w:t xml:space="preserve">Files 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api/support-stats.js</w:t>
            </w:r>
          </w:p>
        </w:tc>
        <w:tc>
          <w:tcPr>
            <w:tcW w:w="4680" w:type="dxa"/>
          </w:tcPr>
          <w:p>
            <w:pPr>
              <w:spacing w:after="0"/>
            </w:pPr>
            <w:r>
              <w:t xml:space="preserve">Added </w:t>
            </w:r>
            <w:r>
              <w:rPr>
                <w:rFonts w:ascii="Consolas" w:hAnsi="Consolas"/>
              </w:rPr>
              <w:t xml:space="preserve">last_endorsement_at</w:t>
            </w:r>
            <w:r>
              <w:t xml:space="preserve">, </w:t>
            </w:r>
            <w:r>
              <w:rPr>
                <w:rFonts w:ascii="Consolas" w:hAnsi="Consolas"/>
              </w:rPr>
              <w:t xml:space="preserve">days_since_last_endorsement</w:t>
            </w:r>
            <w:r>
              <w:t xml:space="preserve">, and an </w:t>
            </w:r>
            <w:r>
              <w:rPr>
                <w:rFonts w:ascii="Consolas" w:hAnsi="Consolas"/>
              </w:rPr>
              <w:t xml:space="preserve">outage</w:t>
            </w:r>
            <w:r>
              <w:t xml:space="preserve"> block counting clicks that reached the screen while the write was broken</w:t>
            </w:r>
          </w:p>
        </w:tc>
      </w:tr>
      <w:tr>
        <w:tc>
          <w:tcPr>
            <w:tcW w:w="4680" w:type="dxa"/>
          </w:tcPr>
          <w:p>
            <w:pPr>
              <w:spacing w:after="0"/>
            </w:pPr>
            <w:r>
              <w:rPr>
                <w:rFonts w:ascii="Consolas" w:hAnsi="Consolas"/>
              </w:rPr>
              <w:t xml:space="preserve">pilot-status.html</w:t>
            </w:r>
          </w:p>
        </w:tc>
        <w:tc>
          <w:tcPr>
            <w:tcW w:w="4680" w:type="dxa"/>
          </w:tcPr>
          <w:p>
            <w:pPr>
              <w:spacing w:after="0"/>
            </w:pPr>
            <w:r>
              <w:t xml:space="preserve">Endorsement panel now shows when the last endorsement arrived and discloses the outage</w:t>
            </w:r>
          </w:p>
        </w:tc>
      </w:tr>
    </w:tbl>
    <w:p>
      <w:pPr/>
      <w:r>
        <w:t/>
      </w:r>
    </w:p>
    <w:p>
      <w:pPr>
        <w:pStyle w:val="Heading3"/>
        <w:spacing w:after="140"/>
      </w:pPr>
      <w:r>
        <w:t xml:space="preserve">Files modified earlier the same day, in the same investigation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api/support.js</w:t>
            </w:r>
          </w:p>
        </w:tc>
        <w:tc>
          <w:tcPr>
            <w:tcW w:w="4680" w:type="dxa"/>
          </w:tcPr>
          <w:p>
            <w:pPr>
              <w:spacing w:after="0"/>
            </w:pPr>
            <w:r>
              <w:t xml:space="preserve">Restored the endorsement write, which had been broken since 2026-08-02</w:t>
            </w:r>
          </w:p>
        </w:tc>
      </w:tr>
      <w:tr>
        <w:tc>
          <w:tcPr>
            <w:tcW w:w="4680" w:type="dxa"/>
          </w:tcPr>
          <w:p>
            <w:pPr>
              <w:spacing w:after="0"/>
            </w:pPr>
            <w:r>
              <w:rPr>
                <w:rFonts w:ascii="Consolas" w:hAnsi="Consolas"/>
              </w:rPr>
              <w:t xml:space="preserve">api/access.js</w:t>
            </w:r>
          </w:p>
        </w:tc>
        <w:tc>
          <w:tcPr>
            <w:tcW w:w="4680" w:type="dxa"/>
          </w:tcPr>
          <w:p>
            <w:pPr>
              <w:spacing w:after="0"/>
            </w:pPr>
            <w:r>
              <w:t xml:space="preserve">Added page-scoped arrival sources </w:t>
            </w:r>
            <w:r>
              <w:rPr>
                <w:rFonts w:ascii="Consolas" w:hAnsi="Consolas"/>
              </w:rPr>
              <w:t xml:space="preserve">reviewer-view</w:t>
            </w:r>
            <w:r>
              <w:t xml:space="preserve"> and </w:t>
            </w:r>
            <w:r>
              <w:rPr>
                <w:rFonts w:ascii="Consolas" w:hAnsi="Consolas"/>
              </w:rPr>
              <w:t xml:space="preserve">train-view</w:t>
            </w:r>
          </w:p>
        </w:tc>
      </w:tr>
      <w:tr>
        <w:tc>
          <w:tcPr>
            <w:tcW w:w="4680" w:type="dxa"/>
          </w:tcPr>
          <w:p>
            <w:pPr>
              <w:spacing w:after="0"/>
            </w:pPr>
            <w:r>
              <w:rPr>
                <w:rFonts w:ascii="Consolas" w:hAnsi="Consolas"/>
              </w:rPr>
              <w:t xml:space="preserve">api/asset-stats.js</w:t>
            </w:r>
          </w:p>
        </w:tc>
        <w:tc>
          <w:tcPr>
            <w:tcW w:w="4680" w:type="dxa"/>
          </w:tcPr>
          <w:p>
            <w:pPr>
              <w:spacing w:after="0"/>
            </w:pPr>
            <w:r>
              <w:t xml:space="preserve">Added the </w:t>
            </w:r>
            <w:r>
              <w:rPr>
                <w:rFonts w:ascii="Consolas" w:hAnsi="Consolas"/>
              </w:rPr>
              <w:t xml:space="preserve">today</w:t>
            </w:r>
            <w:r>
              <w:t xml:space="preserve"> block and the </w:t>
            </w:r>
            <w:r>
              <w:rPr>
                <w:rFonts w:ascii="Consolas" w:hAnsi="Consolas"/>
              </w:rPr>
              <w:t xml:space="preserve">entry_points</w:t>
            </w:r>
            <w:r>
              <w:t xml:space="preserve"> block</w:t>
            </w:r>
          </w:p>
        </w:tc>
      </w:tr>
      <w:tr>
        <w:tc>
          <w:tcPr>
            <w:tcW w:w="4680" w:type="dxa"/>
          </w:tcPr>
          <w:p>
            <w:pPr>
              <w:spacing w:after="0"/>
            </w:pPr>
            <w:r>
              <w:rPr>
                <w:rFonts w:ascii="Consolas" w:hAnsi="Consolas"/>
              </w:rPr>
              <w:t xml:space="preserve">reviewer/index.html</w:t>
            </w:r>
            <w:r>
              <w:t xml:space="preserve">, </w:t>
            </w:r>
            <w:r>
              <w:rPr>
                <w:rFonts w:ascii="Consolas" w:hAnsi="Consolas"/>
              </w:rPr>
              <w:t xml:space="preserve">training.html</w:t>
            </w:r>
          </w:p>
        </w:tc>
        <w:tc>
          <w:tcPr>
            <w:tcW w:w="4680" w:type="dxa"/>
          </w:tcPr>
          <w:p>
            <w:pPr>
              <w:spacing w:after="0"/>
            </w:pPr>
            <w:r>
              <w:t xml:space="preserve">Added arrival logging; neither page recorded a visit before</w:t>
            </w:r>
          </w:p>
        </w:tc>
      </w:tr>
      <w:tr>
        <w:tc>
          <w:tcPr>
            <w:tcW w:w="4680" w:type="dxa"/>
          </w:tcPr>
          <w:p>
            <w:pPr>
              <w:spacing w:after="0"/>
            </w:pPr>
            <w:r>
              <w:rPr>
                <w:rFonts w:ascii="Consolas" w:hAnsi="Consolas"/>
              </w:rPr>
              <w:t xml:space="preserve">api/contributor.js</w:t>
            </w:r>
          </w:p>
        </w:tc>
        <w:tc>
          <w:tcPr>
            <w:tcW w:w="4680" w:type="dxa"/>
          </w:tcPr>
          <w:p>
            <w:pPr>
              <w:spacing w:after="0"/>
            </w:pPr>
            <w:r>
              <w:t xml:space="preserve">Extended the purge helper so counters can be verified without inflating them</w:t>
            </w:r>
          </w:p>
        </w:tc>
      </w:tr>
    </w:tbl>
    <w:p>
      <w:pPr/>
      <w:r>
        <w:t/>
      </w:r>
    </w:p>
    <w:p>
      <w:pPr>
        <w:pStyle w:val="Heading3"/>
        <w:spacing w:after="140"/>
      </w:pPr>
      <w:r>
        <w:t xml:space="preserve">Defects found</w:t>
      </w:r>
    </w:p>
    <w:p>
      <w:pPr>
        <w:numPr>
          <w:ilvl w:val="0"/>
          <w:numId w:val="2"/>
        </w:numPr>
        <w:spacing w:after="60"/>
      </w:pPr>
      <w:r>
        <w:rPr>
          <w:b/>
        </w:rPr>
        <w:t xml:space="preserve">The endorsement write was dead for nine days.</w:t>
      </w:r>
      <w:r>
        <w:t xml:space="preserve"> </w:t>
      </w:r>
      <w:r>
        <w:rPr>
          <w:rFonts w:ascii="Consolas" w:hAnsi="Consolas"/>
        </w:rPr>
        <w:t xml:space="preserve">/api/support</w:t>
      </w:r>
      <w:r>
        <w:t xml:space="preserve"> stopped writing on 2026-08-02 and delegated to the registration form. That form was removed on 2026-08-11 at 03:45Z, after which the screen told readers "Your support is recorded" and recorded nothing.</w:t>
      </w:r>
    </w:p>
    <w:p>
      <w:pPr>
        <w:numPr>
          <w:ilvl w:val="0"/>
          <w:numId w:val="2"/>
        </w:numPr>
        <w:spacing w:after="60"/>
      </w:pPr>
      <w:r>
        <w:rPr>
          <w:b/>
        </w:rPr>
        <w:t xml:space="preserve">Two entry points logged no arrival at all.</w:t>
      </w:r>
      <w:r>
        <w:t xml:space="preserve"> </w:t>
      </w:r>
      <w:r>
        <w:rPr>
          <w:rFonts w:ascii="Consolas" w:hAnsi="Consolas"/>
        </w:rPr>
        <w:t xml:space="preserve">reviewer/index.html</w:t>
      </w:r>
      <w:r>
        <w:t xml:space="preserve"> made no logging call; </w:t>
      </w:r>
      <w:r>
        <w:rPr>
          <w:rFonts w:ascii="Consolas" w:hAnsi="Consolas"/>
        </w:rPr>
        <w:t xml:space="preserve">training.html</w:t>
      </w:r>
      <w:r>
        <w:t xml:space="preserve"> recorded only a completed enrolment.</w:t>
      </w:r>
    </w:p>
    <w:p>
      <w:pPr>
        <w:numPr>
          <w:ilvl w:val="0"/>
          <w:numId w:val="2"/>
        </w:numPr>
        <w:spacing w:after="60"/>
      </w:pPr>
      <w:r>
        <w:rPr>
          <w:b/>
        </w:rPr>
        <w:t xml:space="preserve">No counter on the page measured arrivals.</w:t>
      </w:r>
      <w:r>
        <w:t xml:space="preserve"> Every "today" tile counted a completed action, so a day of real traffic still displayed zero.</w:t>
      </w:r>
    </w:p>
    <w:p>
      <w:pPr>
        <w:pStyle w:val="Heading3"/>
        <w:spacing w:after="140"/>
      </w:pPr>
      <w:r>
        <w:t xml:space="preserve">Unresolved</w:t>
      </w:r>
    </w:p>
    <w:p>
      <w:pPr>
        <w:numPr>
          <w:ilvl w:val="0"/>
          <w:numId w:val="1"/>
        </w:numPr>
        <w:spacing w:after="60"/>
      </w:pPr>
      <w:r>
        <w:t xml:space="preserve">First use in commerce for both marks: </w:t>
      </w:r>
      <w:r>
        <w:rPr>
          <w:b/>
        </w:rPr>
        <w:t xml:space="preserve">NOT ESTABLISHED BY REPOSITORY EVIDENCE</w:t>
      </w:r>
      <w:r>
        <w:t xml:space="preserve">.</w:t>
      </w:r>
    </w:p>
    <w:p>
      <w:pPr>
        <w:numPr>
          <w:ilvl w:val="0"/>
          <w:numId w:val="1"/>
        </w:numPr>
        <w:spacing w:after="60"/>
      </w:pPr>
      <w:r>
        <w:t xml:space="preserve">USPTO acceptability of the candidate identifications: </w:t>
      </w:r>
      <w:r>
        <w:rPr>
          <w:b/>
        </w:rPr>
        <w:t xml:space="preserve">NOT VERIFIED</w:t>
      </w:r>
      <w:r>
        <w:t xml:space="preserve">. No verified read of the current ID Manual was performed in this pass.</w:t>
      </w:r>
    </w:p>
    <w:p>
      <w:pPr>
        <w:pBdr>
          <w:bottom w:val="single" w:sz="6" w:space="1" w:color="AAAAAA"/>
        </w:pBdr>
      </w:pPr>
    </w:p>
    <w:p>
      <w:pPr>
        <w:pStyle w:val="Heading2"/>
        <w:spacing w:after="140"/>
      </w:pPr>
      <w:r>
        <w:t xml:space="preserve">2. Metric reconciliation</w:t>
      </w:r>
    </w:p>
    <w:p>
      <w:pPr>
        <w:spacing w:after="140"/>
      </w:pPr>
      <w:r>
        <w:t xml:space="preserve">Baseline values are held as immutable reference. They do not overwrite current operational values.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Metric</w:t>
            </w:r>
          </w:p>
        </w:tc>
        <w:tc>
          <w:tcPr>
            <w:tcW w:w="1560" w:type="dxa"/>
          </w:tcPr>
          <w:p>
            <w:pPr>
              <w:spacing w:after="0"/>
            </w:pPr>
            <w:r>
              <w:t xml:space="preserve">Baseline (reference)</w:t>
            </w:r>
          </w:p>
        </w:tc>
        <w:tc>
          <w:tcPr>
            <w:tcW w:w="1560" w:type="dxa"/>
          </w:tcPr>
          <w:p>
            <w:pPr>
              <w:spacing w:after="0"/>
            </w:pPr>
            <w:r>
              <w:t xml:space="preserve">Current repository value</w:t>
            </w:r>
          </w:p>
        </w:tc>
        <w:tc>
          <w:tcPr>
            <w:tcW w:w="1560" w:type="dxa"/>
          </w:tcPr>
          <w:p>
            <w:pPr>
              <w:spacing w:after="0"/>
            </w:pPr>
            <w:r>
              <w:t xml:space="preserve">Status</w:t>
            </w:r>
          </w:p>
        </w:tc>
        <w:tc>
          <w:tcPr>
            <w:tcW w:w="1560" w:type="dxa"/>
          </w:tcPr>
          <w:p>
            <w:pPr>
              <w:spacing w:after="0"/>
            </w:pPr>
            <w:r>
              <w:t xml:space="preserve">Source</w:t>
            </w:r>
          </w:p>
        </w:tc>
        <w:tc>
          <w:tcPr>
            <w:tcW w:w="1560" w:type="dxa"/>
          </w:tcPr>
          <w:p>
            <w:pPr>
              <w:spacing w:after="0"/>
            </w:pPr>
            <w:r>
              <w:t xml:space="preserve">Action taken</w:t>
            </w:r>
          </w:p>
        </w:tc>
      </w:tr>
      <w:tr>
        <w:tc>
          <w:tcPr>
            <w:tcW w:w="1560" w:type="dxa"/>
          </w:tcPr>
          <w:p>
            <w:pPr>
              <w:spacing w:after="0"/>
            </w:pPr>
            <w:r>
              <w:t xml:space="preserve">Detection-study reads</w:t>
            </w:r>
          </w:p>
        </w:tc>
        <w:tc>
          <w:tcPr>
            <w:tcW w:w="1560" w:type="dxa"/>
          </w:tcPr>
          <w:p>
            <w:pPr>
              <w:spacing w:after="0"/>
            </w:pPr>
            <w:r>
              <w:t xml:space="preserve">not applicable</w:t>
            </w:r>
          </w:p>
        </w:tc>
        <w:tc>
          <w:tcPr>
            <w:tcW w:w="1560" w:type="dxa"/>
          </w:tcPr>
          <w:p>
            <w:pPr>
              <w:spacing w:after="0"/>
            </w:pPr>
            <w:r>
              <w:rPr>
                <w:b/>
              </w:rPr>
              <w:t xml:space="preserve">510</w:t>
            </w:r>
          </w:p>
        </w:tc>
        <w:tc>
          <w:tcPr>
            <w:tcW w:w="1560" w:type="dxa"/>
          </w:tcPr>
          <w:p>
            <w:pPr>
              <w:spacing w:after="0"/>
            </w:pPr>
            <w:r>
              <w:t xml:space="preserve">Current</w:t>
            </w:r>
          </w:p>
        </w:tc>
        <w:tc>
          <w:tcPr>
            <w:tcW w:w="1560" w:type="dxa"/>
          </w:tcPr>
          <w:p>
            <w:pPr>
              <w:spacing w:after="0"/>
            </w:pPr>
            <w:r>
              <w:rPr>
                <w:rFonts w:ascii="Consolas" w:hAnsi="Consolas"/>
              </w:rPr>
              <w:t xml:space="preserve">pilot_progress</w:t>
            </w:r>
          </w:p>
        </w:tc>
        <w:tc>
          <w:tcPr>
            <w:tcW w:w="1560" w:type="dxa"/>
          </w:tcPr>
          <w:p>
            <w:pPr>
              <w:spacing w:after="0"/>
            </w:pPr>
            <w:r>
              <w:t xml:space="preserve">Preserved</w:t>
            </w:r>
          </w:p>
        </w:tc>
      </w:tr>
      <w:tr>
        <w:tc>
          <w:tcPr>
            <w:tcW w:w="1560" w:type="dxa"/>
          </w:tcPr>
          <w:p>
            <w:pPr>
              <w:spacing w:after="0"/>
            </w:pPr>
            <w:r>
              <w:t xml:space="preserve">Detection reviewers started</w:t>
            </w:r>
          </w:p>
        </w:tc>
        <w:tc>
          <w:tcPr>
            <w:tcW w:w="1560" w:type="dxa"/>
          </w:tcPr>
          <w:p>
            <w:pPr>
              <w:spacing w:after="0"/>
            </w:pPr>
            <w:r>
              <w:t xml:space="preserve">not applicable</w:t>
            </w:r>
          </w:p>
        </w:tc>
        <w:tc>
          <w:tcPr>
            <w:tcW w:w="1560" w:type="dxa"/>
          </w:tcPr>
          <w:p>
            <w:pPr>
              <w:spacing w:after="0"/>
            </w:pPr>
            <w:r>
              <w:rPr>
                <w:b/>
              </w:rPr>
              <w:t xml:space="preserve">16 of 27</w:t>
            </w:r>
          </w:p>
        </w:tc>
        <w:tc>
          <w:tcPr>
            <w:tcW w:w="1560" w:type="dxa"/>
          </w:tcPr>
          <w:p>
            <w:pPr>
              <w:spacing w:after="0"/>
            </w:pPr>
            <w:r>
              <w:t xml:space="preserve">Current</w:t>
            </w:r>
          </w:p>
        </w:tc>
        <w:tc>
          <w:tcPr>
            <w:tcW w:w="1560" w:type="dxa"/>
          </w:tcPr>
          <w:p>
            <w:pPr>
              <w:spacing w:after="0"/>
            </w:pPr>
            <w:r>
              <w:rPr>
                <w:rFonts w:ascii="Consolas" w:hAnsi="Consolas"/>
              </w:rPr>
              <w:t xml:space="preserve">pilot_progress</w:t>
            </w:r>
          </w:p>
        </w:tc>
        <w:tc>
          <w:tcPr>
            <w:tcW w:w="1560" w:type="dxa"/>
          </w:tcPr>
          <w:p>
            <w:pPr>
              <w:spacing w:after="0"/>
            </w:pPr>
            <w:r>
              <w:t xml:space="preserve">Preserved</w:t>
            </w:r>
          </w:p>
        </w:tc>
      </w:tr>
      <w:tr>
        <w:tc>
          <w:tcPr>
            <w:tcW w:w="1560" w:type="dxa"/>
          </w:tcPr>
          <w:p>
            <w:pPr>
              <w:spacing w:after="0"/>
            </w:pPr>
            <w:r>
              <w:t xml:space="preserve">Detection completers</w:t>
            </w:r>
          </w:p>
        </w:tc>
        <w:tc>
          <w:tcPr>
            <w:tcW w:w="1560" w:type="dxa"/>
          </w:tcPr>
          <w:p>
            <w:pPr>
              <w:spacing w:after="0"/>
            </w:pPr>
            <w:r>
              <w:t xml:space="preserve">not applicable</w:t>
            </w:r>
          </w:p>
        </w:tc>
        <w:tc>
          <w:tcPr>
            <w:tcW w:w="1560" w:type="dxa"/>
          </w:tcPr>
          <w:p>
            <w:pPr>
              <w:spacing w:after="0"/>
            </w:pPr>
            <w:r>
              <w:rPr>
                <w:b/>
              </w:rPr>
              <w:t xml:space="preserve">16</w:t>
            </w:r>
          </w:p>
        </w:tc>
        <w:tc>
          <w:tcPr>
            <w:tcW w:w="1560" w:type="dxa"/>
          </w:tcPr>
          <w:p>
            <w:pPr>
              <w:spacing w:after="0"/>
            </w:pPr>
            <w:r>
              <w:t xml:space="preserve">Current</w:t>
            </w:r>
          </w:p>
        </w:tc>
        <w:tc>
          <w:tcPr>
            <w:tcW w:w="1560" w:type="dxa"/>
          </w:tcPr>
          <w:p>
            <w:pPr>
              <w:spacing w:after="0"/>
            </w:pPr>
            <w:r>
              <w:rPr>
                <w:rFonts w:ascii="Consolas" w:hAnsi="Consolas"/>
              </w:rPr>
              <w:t xml:space="preserve">pilot_progress</w:t>
            </w:r>
          </w:p>
        </w:tc>
        <w:tc>
          <w:tcPr>
            <w:tcW w:w="1560" w:type="dxa"/>
          </w:tcPr>
          <w:p>
            <w:pPr>
              <w:spacing w:after="0"/>
            </w:pPr>
            <w:r>
              <w:t xml:space="preserve">Preserved</w:t>
            </w:r>
          </w:p>
        </w:tc>
      </w:tr>
      <w:tr>
        <w:tc>
          <w:tcPr>
            <w:tcW w:w="1560" w:type="dxa"/>
          </w:tcPr>
          <w:p>
            <w:pPr>
              <w:spacing w:after="0"/>
            </w:pPr>
            <w:r>
              <w:t xml:space="preserve">Comparison-study reads</w:t>
            </w:r>
          </w:p>
        </w:tc>
        <w:tc>
          <w:tcPr>
            <w:tcW w:w="1560" w:type="dxa"/>
          </w:tcPr>
          <w:p>
            <w:pPr>
              <w:spacing w:after="0"/>
            </w:pPr>
            <w:r>
              <w:t xml:space="preserve">not applicable</w:t>
            </w:r>
          </w:p>
        </w:tc>
        <w:tc>
          <w:tcPr>
            <w:tcW w:w="1560" w:type="dxa"/>
          </w:tcPr>
          <w:p>
            <w:pPr>
              <w:spacing w:after="0"/>
            </w:pPr>
            <w:r>
              <w:rPr>
                <w:b/>
              </w:rPr>
              <w:t xml:space="preserve">465</w:t>
            </w:r>
          </w:p>
        </w:tc>
        <w:tc>
          <w:tcPr>
            <w:tcW w:w="1560" w:type="dxa"/>
          </w:tcPr>
          <w:p>
            <w:pPr>
              <w:spacing w:after="0"/>
            </w:pPr>
            <w:r>
              <w:t xml:space="preserve">Current</w:t>
            </w:r>
          </w:p>
        </w:tc>
        <w:tc>
          <w:tcPr>
            <w:tcW w:w="1560" w:type="dxa"/>
          </w:tcPr>
          <w:p>
            <w:pPr>
              <w:spacing w:after="0"/>
            </w:pPr>
            <w:r>
              <w:rPr>
                <w:rFonts w:ascii="Consolas" w:hAnsi="Consolas"/>
              </w:rPr>
              <w:t xml:space="preserve">armb_progress</w:t>
            </w:r>
          </w:p>
        </w:tc>
        <w:tc>
          <w:tcPr>
            <w:tcW w:w="1560" w:type="dxa"/>
          </w:tcPr>
          <w:p>
            <w:pPr>
              <w:spacing w:after="0"/>
            </w:pPr>
            <w:r>
              <w:t xml:space="preserve">Preserved</w:t>
            </w:r>
          </w:p>
        </w:tc>
      </w:tr>
      <w:tr>
        <w:tc>
          <w:tcPr>
            <w:tcW w:w="1560" w:type="dxa"/>
          </w:tcPr>
          <w:p>
            <w:pPr>
              <w:spacing w:after="0"/>
            </w:pPr>
            <w:r>
              <w:t xml:space="preserve">Comparison completers</w:t>
            </w:r>
          </w:p>
        </w:tc>
        <w:tc>
          <w:tcPr>
            <w:tcW w:w="1560" w:type="dxa"/>
          </w:tcPr>
          <w:p>
            <w:pPr>
              <w:spacing w:after="0"/>
            </w:pPr>
            <w:r>
              <w:t xml:space="preserve">not applicable</w:t>
            </w:r>
          </w:p>
        </w:tc>
        <w:tc>
          <w:tcPr>
            <w:tcW w:w="1560" w:type="dxa"/>
          </w:tcPr>
          <w:p>
            <w:pPr>
              <w:spacing w:after="0"/>
            </w:pPr>
            <w:r>
              <w:rPr>
                <w:b/>
              </w:rPr>
              <w:t xml:space="preserve">19</w:t>
            </w:r>
          </w:p>
        </w:tc>
        <w:tc>
          <w:tcPr>
            <w:tcW w:w="1560" w:type="dxa"/>
          </w:tcPr>
          <w:p>
            <w:pPr>
              <w:spacing w:after="0"/>
            </w:pPr>
            <w:r>
              <w:t xml:space="preserve">Current</w:t>
            </w:r>
          </w:p>
        </w:tc>
        <w:tc>
          <w:tcPr>
            <w:tcW w:w="1560" w:type="dxa"/>
          </w:tcPr>
          <w:p>
            <w:pPr>
              <w:spacing w:after="0"/>
            </w:pPr>
            <w:r>
              <w:rPr>
                <w:rFonts w:ascii="Consolas" w:hAnsi="Consolas"/>
              </w:rPr>
              <w:t xml:space="preserve">armb_progress</w:t>
            </w:r>
          </w:p>
        </w:tc>
        <w:tc>
          <w:tcPr>
            <w:tcW w:w="1560" w:type="dxa"/>
          </w:tcPr>
          <w:p>
            <w:pPr>
              <w:spacing w:after="0"/>
            </w:pPr>
            <w:r>
              <w:t xml:space="preserve">Preserved</w:t>
            </w:r>
          </w:p>
        </w:tc>
      </w:tr>
      <w:tr>
        <w:tc>
          <w:tcPr>
            <w:tcW w:w="1560" w:type="dxa"/>
          </w:tcPr>
          <w:p>
            <w:pPr>
              <w:spacing w:after="0"/>
            </w:pPr>
            <w:r>
              <w:t xml:space="preserve">Reviewers, all studies</w:t>
            </w:r>
          </w:p>
        </w:tc>
        <w:tc>
          <w:tcPr>
            <w:tcW w:w="1560" w:type="dxa"/>
          </w:tcPr>
          <w:p>
            <w:pPr>
              <w:spacing w:after="0"/>
            </w:pPr>
            <w:r>
              <w:t xml:space="preserve">not applicable</w:t>
            </w:r>
          </w:p>
        </w:tc>
        <w:tc>
          <w:tcPr>
            <w:tcW w:w="1560" w:type="dxa"/>
          </w:tcPr>
          <w:p>
            <w:pPr>
              <w:spacing w:after="0"/>
            </w:pPr>
            <w:r>
              <w:rPr>
                <w:b/>
              </w:rPr>
              <w:t xml:space="preserve">56</w:t>
            </w:r>
          </w:p>
        </w:tc>
        <w:tc>
          <w:tcPr>
            <w:tcW w:w="1560" w:type="dxa"/>
          </w:tcPr>
          <w:p>
            <w:pPr>
              <w:spacing w:after="0"/>
            </w:pPr>
            <w:r>
              <w:t xml:space="preserve">Current, live</w:t>
            </w:r>
          </w:p>
        </w:tc>
        <w:tc>
          <w:tcPr>
            <w:tcW w:w="1560" w:type="dxa"/>
          </w:tcPr>
          <w:p>
            <w:pPr>
              <w:spacing w:after="0"/>
            </w:pPr>
            <w:r>
              <w:rPr>
                <w:rFonts w:ascii="Consolas" w:hAnsi="Consolas"/>
              </w:rPr>
              <w:t xml:space="preserve">/api/panel-stats</w:t>
            </w:r>
          </w:p>
        </w:tc>
        <w:tc>
          <w:tcPr>
            <w:tcW w:w="1560" w:type="dxa"/>
          </w:tcPr>
          <w:p>
            <w:pPr>
              <w:spacing w:after="0"/>
            </w:pPr>
            <w:r>
              <w:t xml:space="preserve">Preserved</w:t>
            </w:r>
          </w:p>
        </w:tc>
      </w:tr>
      <w:tr>
        <w:tc>
          <w:tcPr>
            <w:tcW w:w="1560" w:type="dxa"/>
          </w:tcPr>
          <w:p>
            <w:pPr>
              <w:spacing w:after="0"/>
            </w:pPr>
            <w:r>
              <w:t xml:space="preserve">Full-set completers</w:t>
            </w:r>
          </w:p>
        </w:tc>
        <w:tc>
          <w:tcPr>
            <w:tcW w:w="1560" w:type="dxa"/>
          </w:tcPr>
          <w:p>
            <w:pPr>
              <w:spacing w:after="0"/>
            </w:pPr>
            <w:r>
              <w:t xml:space="preserve">not applicable</w:t>
            </w:r>
          </w:p>
        </w:tc>
        <w:tc>
          <w:tcPr>
            <w:tcW w:w="1560" w:type="dxa"/>
          </w:tcPr>
          <w:p>
            <w:pPr>
              <w:spacing w:after="0"/>
            </w:pPr>
            <w:r>
              <w:rPr>
                <w:b/>
              </w:rPr>
              <w:t xml:space="preserve">35</w:t>
            </w:r>
          </w:p>
        </w:tc>
        <w:tc>
          <w:tcPr>
            <w:tcW w:w="1560" w:type="dxa"/>
          </w:tcPr>
          <w:p>
            <w:pPr>
              <w:spacing w:after="0"/>
            </w:pPr>
            <w:r>
              <w:t xml:space="preserve">Current, live</w:t>
            </w:r>
          </w:p>
        </w:tc>
        <w:tc>
          <w:tcPr>
            <w:tcW w:w="1560" w:type="dxa"/>
          </w:tcPr>
          <w:p>
            <w:pPr>
              <w:spacing w:after="0"/>
            </w:pPr>
            <w:r>
              <w:rPr>
                <w:rFonts w:ascii="Consolas" w:hAnsi="Consolas"/>
              </w:rPr>
              <w:t xml:space="preserve">/api/panel-stats</w:t>
            </w:r>
          </w:p>
        </w:tc>
        <w:tc>
          <w:tcPr>
            <w:tcW w:w="1560" w:type="dxa"/>
          </w:tcPr>
          <w:p>
            <w:pPr>
              <w:spacing w:after="0"/>
            </w:pPr>
            <w:r>
              <w:t xml:space="preserve">Preserved</w:t>
            </w:r>
          </w:p>
        </w:tc>
      </w:tr>
      <w:tr>
        <w:tc>
          <w:tcPr>
            <w:tcW w:w="1560" w:type="dxa"/>
          </w:tcPr>
          <w:p>
            <w:pPr>
              <w:spacing w:after="0"/>
            </w:pPr>
            <w:r>
              <w:t xml:space="preserve">Countries</w:t>
            </w:r>
          </w:p>
        </w:tc>
        <w:tc>
          <w:tcPr>
            <w:tcW w:w="1560" w:type="dxa"/>
          </w:tcPr>
          <w:p>
            <w:pPr>
              <w:spacing w:after="0"/>
            </w:pPr>
            <w:r>
              <w:t xml:space="preserve">not applicable</w:t>
            </w:r>
          </w:p>
        </w:tc>
        <w:tc>
          <w:tcPr>
            <w:tcW w:w="1560" w:type="dxa"/>
          </w:tcPr>
          <w:p>
            <w:pPr>
              <w:spacing w:after="0"/>
            </w:pPr>
            <w:r>
              <w:rPr>
                <w:b/>
              </w:rPr>
              <w:t xml:space="preserve">16</w:t>
            </w:r>
          </w:p>
        </w:tc>
        <w:tc>
          <w:tcPr>
            <w:tcW w:w="1560" w:type="dxa"/>
          </w:tcPr>
          <w:p>
            <w:pPr>
              <w:spacing w:after="0"/>
            </w:pPr>
            <w:r>
              <w:t xml:space="preserve">Current, transcribed</w:t>
            </w:r>
          </w:p>
        </w:tc>
        <w:tc>
          <w:tcPr>
            <w:tcW w:w="1560" w:type="dxa"/>
          </w:tcPr>
          <w:p>
            <w:pPr>
              <w:spacing w:after="0"/>
            </w:pPr>
            <w:r>
              <w:rPr>
                <w:rFonts w:ascii="Consolas" w:hAnsi="Consolas"/>
              </w:rPr>
              <w:t xml:space="preserve">build_expert_roster.py</w:t>
            </w:r>
          </w:p>
        </w:tc>
        <w:tc>
          <w:tcPr>
            <w:tcW w:w="1560" w:type="dxa"/>
          </w:tcPr>
          <w:p>
            <w:pPr>
              <w:spacing w:after="0"/>
            </w:pPr>
            <w:r>
              <w:t xml:space="preserve">Preserved, flagged non-live</w:t>
            </w:r>
          </w:p>
        </w:tc>
      </w:tr>
      <w:tr>
        <w:tc>
          <w:tcPr>
            <w:tcW w:w="1560" w:type="dxa"/>
          </w:tcPr>
          <w:p>
            <w:pPr>
              <w:spacing w:after="0"/>
            </w:pPr>
            <w:r>
              <w:t xml:space="preserve">PST pilot cases</w:t>
            </w:r>
          </w:p>
        </w:tc>
        <w:tc>
          <w:tcPr>
            <w:tcW w:w="1560" w:type="dxa"/>
          </w:tcPr>
          <w:p>
            <w:pPr>
              <w:spacing w:after="0"/>
            </w:pPr>
            <w:r>
              <w:rPr>
                <w:b/>
              </w:rPr>
              <w:t xml:space="preserve">20</w:t>
            </w:r>
          </w:p>
        </w:tc>
        <w:tc>
          <w:tcPr>
            <w:tcW w:w="1560" w:type="dxa"/>
          </w:tcPr>
          <w:p>
            <w:pPr>
              <w:spacing w:after="0"/>
            </w:pPr>
            <w:r>
              <w:t xml:space="preserve">no such study exists</w:t>
            </w:r>
          </w:p>
        </w:tc>
        <w:tc>
          <w:tcPr>
            <w:tcW w:w="1560" w:type="dxa"/>
          </w:tcPr>
          <w:p>
            <w:pPr>
              <w:spacing w:after="0"/>
            </w:pPr>
            <w:r>
              <w:rPr>
                <w:b/>
              </w:rPr>
              <w:t xml:space="preserve">Not found</w:t>
            </w:r>
          </w:p>
        </w:tc>
        <w:tc>
          <w:tcPr>
            <w:tcW w:w="1560" w:type="dxa"/>
          </w:tcPr>
          <w:p>
            <w:pPr>
              <w:spacing w:after="0"/>
            </w:pPr>
            <w:r>
              <w:t xml:space="preserve">searched all files</w:t>
            </w:r>
          </w:p>
        </w:tc>
        <w:tc>
          <w:tcPr>
            <w:tcW w:w="1560" w:type="dxa"/>
          </w:tcPr>
          <w:p>
            <w:pPr>
              <w:spacing w:after="0"/>
            </w:pPr>
            <w:r>
              <w:t xml:space="preserve">Not injected</w:t>
            </w:r>
          </w:p>
        </w:tc>
      </w:tr>
      <w:tr>
        <w:tc>
          <w:tcPr>
            <w:tcW w:w="1560" w:type="dxa"/>
          </w:tcPr>
          <w:p>
            <w:pPr>
              <w:spacing w:after="0"/>
            </w:pPr>
            <w:r>
              <w:t xml:space="preserve">Inter-rater agreement</w:t>
            </w:r>
          </w:p>
        </w:tc>
        <w:tc>
          <w:tcPr>
            <w:tcW w:w="1560" w:type="dxa"/>
          </w:tcPr>
          <w:p>
            <w:pPr>
              <w:spacing w:after="0"/>
            </w:pPr>
            <w:r>
              <w:rPr>
                <w:b/>
              </w:rPr>
              <w:t xml:space="preserve">84.2%</w:t>
            </w:r>
            <w:r>
              <w:t xml:space="preserve"> benchmark</w:t>
            </w:r>
          </w:p>
        </w:tc>
        <w:tc>
          <w:tcPr>
            <w:tcW w:w="1560" w:type="dxa"/>
          </w:tcPr>
          <w:p>
            <w:pPr>
              <w:spacing w:after="0"/>
            </w:pPr>
            <w:r>
              <w:rPr>
                <w:b/>
              </w:rPr>
              <w:t xml:space="preserve">Gwet's AC1 0.739</w:t>
            </w:r>
            <w:r>
              <w:t xml:space="preserve">, 95% CI [0.402, 1.000], n=10 records, 36 labels</w:t>
            </w:r>
          </w:p>
        </w:tc>
        <w:tc>
          <w:tcPr>
            <w:tcW w:w="1560" w:type="dxa"/>
          </w:tcPr>
          <w:p>
            <w:pPr>
              <w:spacing w:after="0"/>
            </w:pPr>
            <w:r>
              <w:t xml:space="preserve">Current, measured</w:t>
            </w:r>
          </w:p>
        </w:tc>
        <w:tc>
          <w:tcPr>
            <w:tcW w:w="1560" w:type="dxa"/>
          </w:tcPr>
          <w:p>
            <w:pPr>
              <w:spacing w:after="0"/>
            </w:pPr>
            <w:r>
              <w:rPr>
                <w:rFonts w:ascii="Consolas" w:hAnsi="Consolas"/>
              </w:rPr>
              <w:t xml:space="preserve">research/compute_ac1_ci.py</w:t>
            </w:r>
          </w:p>
        </w:tc>
        <w:tc>
          <w:tcPr>
            <w:tcW w:w="1560" w:type="dxa"/>
          </w:tcPr>
          <w:p>
            <w:pPr>
              <w:spacing w:after="0"/>
            </w:pPr>
            <w:r>
              <w:t xml:space="preserve">Not overwritten</w:t>
            </w:r>
          </w:p>
        </w:tc>
      </w:tr>
      <w:tr>
        <w:tc>
          <w:tcPr>
            <w:tcW w:w="1560" w:type="dxa"/>
          </w:tcPr>
          <w:p>
            <w:pPr>
              <w:spacing w:after="0"/>
            </w:pPr>
            <w:r>
              <w:t xml:space="preserve">Cross-vendor drift</w:t>
            </w:r>
          </w:p>
        </w:tc>
        <w:tc>
          <w:tcPr>
            <w:tcW w:w="1560" w:type="dxa"/>
          </w:tcPr>
          <w:p>
            <w:pPr>
              <w:spacing w:after="0"/>
            </w:pPr>
            <w:r>
              <w:rPr>
                <w:b/>
              </w:rPr>
              <w:t xml:space="preserve">&lt;15%</w:t>
            </w:r>
            <w:r>
              <w:t xml:space="preserve"> target</w:t>
            </w:r>
          </w:p>
        </w:tc>
        <w:tc>
          <w:tcPr>
            <w:tcW w:w="1560" w:type="dxa"/>
          </w:tcPr>
          <w:p>
            <w:pPr>
              <w:spacing w:after="0"/>
            </w:pPr>
            <w:r>
              <w:t xml:space="preserve">reproducibility </w:t>
            </w:r>
            <w:r>
              <w:rPr>
                <w:b/>
              </w:rPr>
              <w:t xml:space="preserve">86.7%</w:t>
            </w:r>
          </w:p>
        </w:tc>
        <w:tc>
          <w:tcPr>
            <w:tcW w:w="1560" w:type="dxa"/>
          </w:tcPr>
          <w:p>
            <w:pPr>
              <w:spacing w:after="0"/>
            </w:pPr>
            <w:r>
              <w:t xml:space="preserve">Current, measured</w:t>
            </w:r>
          </w:p>
        </w:tc>
        <w:tc>
          <w:tcPr>
            <w:tcW w:w="1560" w:type="dxa"/>
          </w:tcPr>
          <w:p>
            <w:pPr>
              <w:spacing w:after="0"/>
            </w:pPr>
            <w:r>
              <w:t xml:space="preserve">nightly study run</w:t>
            </w:r>
          </w:p>
        </w:tc>
        <w:tc>
          <w:tcPr>
            <w:tcW w:w="1560" w:type="dxa"/>
          </w:tcPr>
          <w:p>
            <w:pPr>
              <w:spacing w:after="0"/>
            </w:pPr>
            <w:r>
              <w:t xml:space="preserve">Not overwritten</w:t>
            </w:r>
          </w:p>
        </w:tc>
      </w:tr>
      <w:tr>
        <w:tc>
          <w:tcPr>
            <w:tcW w:w="1560" w:type="dxa"/>
          </w:tcPr>
          <w:p>
            <w:pPr>
              <w:spacing w:after="0"/>
            </w:pPr>
            <w:r>
              <w:t xml:space="preserve">Reviewer evaluation</w:t>
            </w:r>
          </w:p>
        </w:tc>
        <w:tc>
          <w:tcPr>
            <w:tcW w:w="1560" w:type="dxa"/>
          </w:tcPr>
          <w:p>
            <w:pPr>
              <w:spacing w:after="0"/>
            </w:pPr>
            <w:r>
              <w:rPr>
                <w:b/>
              </w:rPr>
              <w:t xml:space="preserve">9 questions</w:t>
            </w:r>
          </w:p>
        </w:tc>
        <w:tc>
          <w:tcPr>
            <w:tcW w:w="1560" w:type="dxa"/>
          </w:tcPr>
          <w:p>
            <w:pPr>
              <w:spacing w:after="0"/>
            </w:pPr>
            <w:r>
              <w:rPr>
                <w:b/>
              </w:rPr>
              <w:t xml:space="preserve">9 questions</w:t>
            </w:r>
          </w:p>
        </w:tc>
        <w:tc>
          <w:tcPr>
            <w:tcW w:w="1560" w:type="dxa"/>
          </w:tcPr>
          <w:p>
            <w:pPr>
              <w:spacing w:after="0"/>
            </w:pPr>
            <w:r>
              <w:t xml:space="preserve">Agrees</w:t>
            </w:r>
          </w:p>
        </w:tc>
        <w:tc>
          <w:tcPr>
            <w:tcW w:w="1560" w:type="dxa"/>
          </w:tcPr>
          <w:p>
            <w:pPr>
              <w:spacing w:after="0"/>
            </w:pPr>
            <w:r>
              <w:rPr>
                <w:rFonts w:ascii="Consolas" w:hAnsi="Consolas"/>
              </w:rPr>
              <w:t xml:space="preserve">api/reviewer-eval.js</w:t>
            </w:r>
          </w:p>
        </w:tc>
        <w:tc>
          <w:tcPr>
            <w:tcW w:w="1560" w:type="dxa"/>
          </w:tcPr>
          <w:p>
            <w:pPr>
              <w:spacing w:after="0"/>
            </w:pPr>
            <w:r>
              <w:t xml:space="preserve">No change needed</w:t>
            </w:r>
          </w:p>
        </w:tc>
      </w:tr>
      <w:tr>
        <w:tc>
          <w:tcPr>
            <w:tcW w:w="1560" w:type="dxa"/>
          </w:tcPr>
          <w:p>
            <w:pPr>
              <w:spacing w:after="0"/>
            </w:pPr>
            <w:r>
              <w:t xml:space="preserve">Endorsements recorded</w:t>
            </w:r>
          </w:p>
        </w:tc>
        <w:tc>
          <w:tcPr>
            <w:tcW w:w="1560" w:type="dxa"/>
          </w:tcPr>
          <w:p>
            <w:pPr>
              <w:spacing w:after="0"/>
            </w:pPr>
            <w:r>
              <w:t xml:space="preserve">not applicable</w:t>
            </w:r>
          </w:p>
        </w:tc>
        <w:tc>
          <w:tcPr>
            <w:tcW w:w="1560" w:type="dxa"/>
          </w:tcPr>
          <w:p>
            <w:pPr>
              <w:spacing w:after="0"/>
            </w:pPr>
            <w:r>
              <w:rPr>
                <w:b/>
              </w:rPr>
              <w:t xml:space="preserve">40</w:t>
            </w:r>
          </w:p>
        </w:tc>
        <w:tc>
          <w:tcPr>
            <w:tcW w:w="1560" w:type="dxa"/>
          </w:tcPr>
          <w:p>
            <w:pPr>
              <w:spacing w:after="0"/>
            </w:pPr>
            <w:r>
              <w:t xml:space="preserve">Current</w:t>
            </w:r>
          </w:p>
        </w:tc>
        <w:tc>
          <w:tcPr>
            <w:tcW w:w="1560" w:type="dxa"/>
          </w:tcPr>
          <w:p>
            <w:pPr>
              <w:spacing w:after="0"/>
            </w:pPr>
            <w:r>
              <w:rPr>
                <w:rFonts w:ascii="Consolas" w:hAnsi="Consolas"/>
              </w:rPr>
              <w:t xml:space="preserve">interaction_events</w:t>
            </w:r>
          </w:p>
        </w:tc>
        <w:tc>
          <w:tcPr>
            <w:tcW w:w="1560" w:type="dxa"/>
          </w:tcPr>
          <w:p>
            <w:pPr>
              <w:spacing w:after="0"/>
            </w:pPr>
            <w:r>
              <w:t xml:space="preserve">Preserved</w:t>
            </w:r>
          </w:p>
        </w:tc>
      </w:tr>
      <w:tr>
        <w:tc>
          <w:tcPr>
            <w:tcW w:w="1560" w:type="dxa"/>
          </w:tcPr>
          <w:p>
            <w:pPr>
              <w:spacing w:after="0"/>
            </w:pPr>
            <w:r>
              <w:t xml:space="preserve">Last endorsement</w:t>
            </w:r>
          </w:p>
        </w:tc>
        <w:tc>
          <w:tcPr>
            <w:tcW w:w="1560" w:type="dxa"/>
          </w:tcPr>
          <w:p>
            <w:pPr>
              <w:spacing w:after="0"/>
            </w:pPr>
            <w:r>
              <w:t xml:space="preserve">not applicable</w:t>
            </w:r>
          </w:p>
        </w:tc>
        <w:tc>
          <w:tcPr>
            <w:tcW w:w="1560" w:type="dxa"/>
          </w:tcPr>
          <w:p>
            <w:pPr>
              <w:spacing w:after="0"/>
            </w:pPr>
            <w:r>
              <w:rPr>
                <w:b/>
              </w:rPr>
              <w:t xml:space="preserve">2026-08-04</w:t>
            </w:r>
            <w:r>
              <w:t xml:space="preserve">, 7 days ago</w:t>
            </w:r>
          </w:p>
        </w:tc>
        <w:tc>
          <w:tcPr>
            <w:tcW w:w="1560" w:type="dxa"/>
          </w:tcPr>
          <w:p>
            <w:pPr>
              <w:spacing w:after="0"/>
            </w:pPr>
            <w:r>
              <w:t xml:space="preserve">Current</w:t>
            </w:r>
          </w:p>
        </w:tc>
        <w:tc>
          <w:tcPr>
            <w:tcW w:w="1560" w:type="dxa"/>
          </w:tcPr>
          <w:p>
            <w:pPr>
              <w:spacing w:after="0"/>
            </w:pPr>
            <w:r>
              <w:rPr>
                <w:rFonts w:ascii="Consolas" w:hAnsi="Consolas"/>
              </w:rPr>
              <w:t xml:space="preserve">/api/support-stats</w:t>
            </w:r>
          </w:p>
        </w:tc>
        <w:tc>
          <w:tcPr>
            <w:tcW w:w="1560" w:type="dxa"/>
          </w:tcPr>
          <w:p>
            <w:pPr>
              <w:spacing w:after="0"/>
            </w:pPr>
            <w:r>
              <w:rPr>
                <w:b/>
              </w:rPr>
              <w:t xml:space="preserve">Added to the page</w:t>
            </w:r>
          </w:p>
        </w:tc>
      </w:tr>
    </w:tbl>
    <w:p>
      <w:pPr/>
      <w:r>
        <w:t/>
      </w:r>
    </w:p>
    <w:p>
      <w:pPr>
        <w:spacing w:after="140"/>
      </w:pPr>
      <w:r>
        <w:rPr>
          <w:b/>
        </w:rPr>
        <w:t xml:space="preserve">The 20-case PST baseline, the 84.2% figure, and the &lt;15% drift figure do not appear anywhere in this repository or database.</w:t>
      </w:r>
      <w:r>
        <w:t xml:space="preserve"> Searched: </w:t>
      </w:r>
      <w:r>
        <w:rPr>
          <w:rFonts w:ascii="Consolas" w:hAnsi="Consolas"/>
        </w:rPr>
        <w:t xml:space="preserve">PST</w:t>
      </w:r>
      <w:r>
        <w:t xml:space="preserve">, </w:t>
      </w:r>
      <w:r>
        <w:rPr>
          <w:rFonts w:ascii="Consolas" w:hAnsi="Consolas"/>
        </w:rPr>
        <w:t xml:space="preserve">84.2</w:t>
      </w:r>
      <w:r>
        <w:t xml:space="preserve">, </w:t>
      </w:r>
      <w:r>
        <w:rPr>
          <w:rFonts w:ascii="Consolas" w:hAnsi="Consolas"/>
        </w:rPr>
        <w:t xml:space="preserve">20 Cases</w:t>
      </w:r>
      <w:r>
        <w:t xml:space="preserve">, </w:t>
      </w:r>
      <w:r>
        <w:rPr>
          <w:rFonts w:ascii="Consolas" w:hAnsi="Consolas"/>
        </w:rPr>
        <w:t xml:space="preserve">Jan-Mar</w:t>
      </w:r>
      <w:r>
        <w:t xml:space="preserve">, </w:t>
      </w:r>
      <w:r>
        <w:rPr>
          <w:rFonts w:ascii="Consolas" w:hAnsi="Consolas"/>
        </w:rPr>
        <w:t xml:space="preserve">Institutional Control Survey</w:t>
      </w:r>
      <w:r>
        <w:t xml:space="preserve">, </w:t>
      </w:r>
      <w:r>
        <w:rPr>
          <w:rFonts w:ascii="Consolas" w:hAnsi="Consolas"/>
        </w:rPr>
        <w:t xml:space="preserve">15% variance</w:t>
      </w:r>
      <w:r>
        <w:t xml:space="preserve">. Zero occurrences. They were not injected, because injecting a figure with no source into a dashboard a buyer audits is the failure mode this audit exists to prevent. If the PST study is real and external, supply the source and it will be loaded and reconciled with provenance.</w:t>
      </w:r>
    </w:p>
    <w:p>
      <w:pPr>
        <w:pBdr>
          <w:bottom w:val="single" w:sz="6" w:space="1" w:color="AAAAAA"/>
        </w:pBdr>
      </w:pPr>
    </w:p>
    <w:p>
      <w:pPr>
        <w:pStyle w:val="Heading2"/>
        <w:spacing w:after="140"/>
      </w:pPr>
      <w:r>
        <w:t xml:space="preserve">3. Today's exact numbers</w:t>
      </w:r>
    </w:p>
    <w:p>
      <w:pPr>
        <w:spacing w:after="140"/>
      </w:pPr>
      <w:r>
        <w:rPr>
          <w:b/>
        </w:rPr>
        <w:t xml:space="preserve">2026-08-11 UTC</w:t>
      </w:r>
      <w:r>
        <w:t xml:space="preserve">, live from </w:t>
      </w:r>
      <w:r>
        <w:rPr>
          <w:rFonts w:ascii="Consolas" w:hAnsi="Consolas"/>
        </w:rPr>
        <w:t xml:space="preserve">/api/asset-stats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Surface</w:t>
            </w:r>
          </w:p>
        </w:tc>
        <w:tc>
          <w:tcPr>
            <w:tcW w:w="3120" w:type="dxa"/>
          </w:tcPr>
          <w:p>
            <w:pPr>
              <w:spacing w:after="0"/>
            </w:pPr>
            <w:r>
              <w:t xml:space="preserve">Today</w:t>
            </w:r>
          </w:p>
        </w:tc>
        <w:tc>
          <w:tcPr>
            <w:tcW w:w="3120" w:type="dxa"/>
          </w:tcPr>
          <w:p>
            <w:pPr>
              <w:spacing w:after="0"/>
            </w:pPr>
            <w:r>
              <w:t xml:space="preserve">Logging began</w:t>
            </w:r>
          </w:p>
        </w:tc>
      </w:tr>
      <w:tr>
        <w:tc>
          <w:tcPr>
            <w:tcW w:w="3120" w:type="dxa"/>
          </w:tcPr>
          <w:p>
            <w:pPr>
              <w:spacing w:after="0"/>
            </w:pPr>
            <w:r>
              <w:t xml:space="preserve">Campaign screen arrivals</w:t>
            </w:r>
          </w:p>
        </w:tc>
        <w:tc>
          <w:tcPr>
            <w:tcW w:w="3120" w:type="dxa"/>
          </w:tcPr>
          <w:p>
            <w:pPr>
              <w:spacing w:after="0"/>
            </w:pPr>
            <w:r>
              <w:rPr>
                <w:b/>
              </w:rPr>
              <w:t xml:space="preserve">18</w:t>
            </w:r>
          </w:p>
        </w:tc>
        <w:tc>
          <w:tcPr>
            <w:tcW w:w="3120" w:type="dxa"/>
          </w:tcPr>
          <w:p>
            <w:pPr>
              <w:spacing w:after="0"/>
            </w:pPr>
            <w:r>
              <w:t xml:space="preserve">2026-08-02</w:t>
            </w:r>
          </w:p>
        </w:tc>
      </w:tr>
      <w:tr>
        <w:tc>
          <w:tcPr>
            <w:tcW w:w="3120" w:type="dxa"/>
          </w:tcPr>
          <w:p>
            <w:pPr>
              <w:spacing w:after="0"/>
            </w:pPr>
            <w:r>
              <w:t xml:space="preserve">Reviewer landing arrivals</w:t>
            </w:r>
          </w:p>
        </w:tc>
        <w:tc>
          <w:tcPr>
            <w:tcW w:w="3120" w:type="dxa"/>
          </w:tcPr>
          <w:p>
            <w:pPr>
              <w:spacing w:after="0"/>
            </w:pPr>
            <w:r>
              <w:t xml:space="preserve">0</w:t>
            </w:r>
          </w:p>
        </w:tc>
        <w:tc>
          <w:tcPr>
            <w:tcW w:w="3120" w:type="dxa"/>
          </w:tcPr>
          <w:p>
            <w:pPr>
              <w:spacing w:after="0"/>
            </w:pPr>
            <w:r>
              <w:t xml:space="preserve">2026-08-11</w:t>
            </w:r>
          </w:p>
        </w:tc>
      </w:tr>
      <w:tr>
        <w:tc>
          <w:tcPr>
            <w:tcW w:w="3120" w:type="dxa"/>
          </w:tcPr>
          <w:p>
            <w:pPr>
              <w:spacing w:after="0"/>
            </w:pPr>
            <w:r>
              <w:t xml:space="preserve">Training page arrivals</w:t>
            </w:r>
          </w:p>
        </w:tc>
        <w:tc>
          <w:tcPr>
            <w:tcW w:w="3120" w:type="dxa"/>
          </w:tcPr>
          <w:p>
            <w:pPr>
              <w:spacing w:after="0"/>
            </w:pPr>
            <w:r>
              <w:t xml:space="preserve">0</w:t>
            </w:r>
          </w:p>
        </w:tc>
        <w:tc>
          <w:tcPr>
            <w:tcW w:w="3120" w:type="dxa"/>
          </w:tcPr>
          <w:p>
            <w:pPr>
              <w:spacing w:after="0"/>
            </w:pPr>
            <w:r>
              <w:t xml:space="preserve">2026-08-11</w:t>
            </w:r>
          </w:p>
        </w:tc>
      </w:tr>
      <w:tr>
        <w:tc>
          <w:tcPr>
            <w:tcW w:w="3120" w:type="dxa"/>
          </w:tcPr>
          <w:p>
            <w:pPr>
              <w:spacing w:after="0"/>
            </w:pPr>
            <w:r>
              <w:t xml:space="preserve">Endorsements</w:t>
            </w:r>
          </w:p>
        </w:tc>
        <w:tc>
          <w:tcPr>
            <w:tcW w:w="3120" w:type="dxa"/>
          </w:tcPr>
          <w:p>
            <w:pPr>
              <w:spacing w:after="0"/>
            </w:pPr>
            <w:r>
              <w:rPr>
                <w:b/>
              </w:rPr>
              <w:t xml:space="preserve">0</w:t>
            </w:r>
          </w:p>
        </w:tc>
        <w:tc>
          <w:tcPr>
            <w:tcW w:w="3120" w:type="dxa"/>
          </w:tcPr>
          <w:p>
            <w:pPr>
              <w:spacing w:after="0"/>
            </w:pPr>
            <w:r>
              <w:t xml:space="preserve">restored 2026-08-11 08:30Z</w:t>
            </w:r>
          </w:p>
        </w:tc>
      </w:tr>
      <w:tr>
        <w:tc>
          <w:tcPr>
            <w:tcW w:w="3120" w:type="dxa"/>
          </w:tcPr>
          <w:p>
            <w:pPr>
              <w:spacing w:after="0"/>
            </w:pPr>
            <w:r>
              <w:t xml:space="preserve">Evaluation opens</w:t>
            </w:r>
          </w:p>
        </w:tc>
        <w:tc>
          <w:tcPr>
            <w:tcW w:w="3120" w:type="dxa"/>
          </w:tcPr>
          <w:p>
            <w:pPr>
              <w:spacing w:after="0"/>
            </w:pPr>
            <w:r>
              <w:t xml:space="preserve">0</w:t>
            </w:r>
          </w:p>
        </w:tc>
        <w:tc>
          <w:tcPr>
            <w:tcW w:w="3120" w:type="dxa"/>
          </w:tcPr>
          <w:p>
            <w:pPr>
              <w:spacing w:after="0"/>
            </w:pPr>
            <w:r>
              <w:t xml:space="preserve">2026-08-10</w:t>
            </w:r>
          </w:p>
        </w:tc>
      </w:tr>
      <w:tr>
        <w:tc>
          <w:tcPr>
            <w:tcW w:w="3120" w:type="dxa"/>
          </w:tcPr>
          <w:p>
            <w:pPr>
              <w:spacing w:after="0"/>
            </w:pPr>
            <w:r>
              <w:t xml:space="preserve">Evaluation submissions</w:t>
            </w:r>
          </w:p>
        </w:tc>
        <w:tc>
          <w:tcPr>
            <w:tcW w:w="3120" w:type="dxa"/>
          </w:tcPr>
          <w:p>
            <w:pPr>
              <w:spacing w:after="0"/>
            </w:pPr>
            <w:r>
              <w:t xml:space="preserve">0</w:t>
            </w:r>
          </w:p>
        </w:tc>
        <w:tc>
          <w:tcPr>
            <w:tcW w:w="3120" w:type="dxa"/>
          </w:tcPr>
          <w:p>
            <w:pPr>
              <w:spacing w:after="0"/>
            </w:pPr>
            <w:r>
              <w:t xml:space="preserve">2026-08-09</w:t>
            </w:r>
          </w:p>
        </w:tc>
      </w:tr>
      <w:tr>
        <w:tc>
          <w:tcPr>
            <w:tcW w:w="3120" w:type="dxa"/>
          </w:tcPr>
          <w:p>
            <w:pPr>
              <w:spacing w:after="0"/>
            </w:pPr>
            <w:r>
              <w:t xml:space="preserve">Guide downloads</w:t>
            </w:r>
          </w:p>
        </w:tc>
        <w:tc>
          <w:tcPr>
            <w:tcW w:w="3120" w:type="dxa"/>
          </w:tcPr>
          <w:p>
            <w:pPr>
              <w:spacing w:after="0"/>
            </w:pPr>
            <w:r>
              <w:rPr>
                <w:b/>
              </w:rPr>
              <w:t xml:space="preserve">2</w:t>
            </w:r>
          </w:p>
        </w:tc>
        <w:tc>
          <w:tcPr>
            <w:tcW w:w="3120" w:type="dxa"/>
          </w:tcPr>
          <w:p>
            <w:pPr>
              <w:spacing w:after="0"/>
            </w:pPr>
            <w:r>
              <w:t xml:space="preserve">2026-07-17</w:t>
            </w:r>
          </w:p>
        </w:tc>
      </w:tr>
      <w:tr>
        <w:tc>
          <w:tcPr>
            <w:tcW w:w="3120" w:type="dxa"/>
          </w:tcPr>
          <w:p>
            <w:pPr>
              <w:spacing w:after="0"/>
            </w:pPr>
            <w:r>
              <w:t xml:space="preserve">Records reviewed</w:t>
            </w:r>
          </w:p>
        </w:tc>
        <w:tc>
          <w:tcPr>
            <w:tcW w:w="3120" w:type="dxa"/>
          </w:tcPr>
          <w:p>
            <w:pPr>
              <w:spacing w:after="0"/>
            </w:pPr>
            <w:r>
              <w:rPr>
                <w:b/>
              </w:rPr>
              <w:t xml:space="preserve">48</w:t>
            </w:r>
            <w:r>
              <w:t xml:space="preserve"> (0 detection, 48 comparison)</w:t>
            </w:r>
          </w:p>
        </w:tc>
        <w:tc>
          <w:tcPr>
            <w:tcW w:w="3120" w:type="dxa"/>
          </w:tcPr>
          <w:p>
            <w:pPr>
              <w:spacing w:after="0"/>
            </w:pPr>
            <w:r>
              <w:t xml:space="preserve">live</w:t>
            </w:r>
          </w:p>
        </w:tc>
      </w:tr>
    </w:tbl>
    <w:p>
      <w:pPr/>
      <w:r>
        <w:t/>
      </w:r>
    </w:p>
    <w:p>
      <w:pPr>
        <w:spacing w:after="140"/>
      </w:pPr>
      <w:r>
        <w:t xml:space="preserve">25 human events. 2 crawler rows excluded.</w:t>
      </w:r>
    </w:p>
    <w:p>
      <w:pPr>
        <w:spacing w:after="140"/>
      </w:pPr>
      <w:r>
        <w:rPr>
          <w:b/>
        </w:rPr>
        <w:t xml:space="preserve">Why endorsements read 0 today:</w:t>
      </w:r>
      <w:r>
        <w:t xml:space="preserve"> all 18 campaign arrivals occurred between 03:47Z and 04:45Z, before the write was restored at 08:30Z. </w:t>
      </w:r>
      <w:r>
        <w:rPr>
          <w:b/>
        </w:rPr>
        <w:t xml:space="preserve">Zero campaign arrivals since the fix.</w:t>
      </w:r>
      <w:r>
        <w:t xml:space="preserve"> The counter was verified end to end after the fix: a real click wrote a row, the total moved 40 to 41, and the check row was purged.</w:t>
      </w:r>
    </w:p>
    <w:p>
      <w:pPr>
        <w:spacing w:after="140"/>
      </w:pPr>
      <w:r>
        <w:rPr>
          <w:b/>
        </w:rPr>
        <w:t xml:space="preserve">Why 18 arrivals is not 18 lost supporters:</w:t>
      </w:r>
      <w:r>
        <w:t xml:space="preserve"> all 18 carry one identical user agent (iPhone, iOS 26.5.2, Chrome for iOS 151, US). One device, 18 loads across 58 minutes, alternating between both campaigns.</w:t>
      </w:r>
    </w:p>
    <w:p>
      <w:pPr>
        <w:pBdr>
          <w:bottom w:val="single" w:sz="6" w:space="1" w:color="AAAAAA"/>
        </w:pBdr>
      </w:pPr>
    </w:p>
    <w:p>
      <w:pPr>
        <w:pStyle w:val="Heading2"/>
        <w:spacing w:after="140"/>
      </w:pPr>
      <w:r>
        <w:t xml:space="preserve">4. Suppressed and inactive cohorts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Cohort</w:t>
            </w:r>
          </w:p>
        </w:tc>
        <w:tc>
          <w:tcPr>
            <w:tcW w:w="3120" w:type="dxa"/>
          </w:tcPr>
          <w:p>
            <w:pPr>
              <w:spacing w:after="0"/>
            </w:pPr>
            <w:r>
              <w:t xml:space="preserve">State</w:t>
            </w:r>
          </w:p>
        </w:tc>
        <w:tc>
          <w:tcPr>
            <w:tcW w:w="3120" w:type="dxa"/>
          </w:tcPr>
          <w:p>
            <w:pPr>
              <w:spacing w:after="0"/>
            </w:pPr>
            <w:r>
              <w:t xml:space="preserve">Treatment</w:t>
            </w:r>
          </w:p>
        </w:tc>
      </w:tr>
      <w:tr>
        <w:tc>
          <w:tcPr>
            <w:tcW w:w="3120" w:type="dxa"/>
          </w:tcPr>
          <w:p>
            <w:pPr>
              <w:spacing w:after="0"/>
            </w:pPr>
            <w:r>
              <w:t xml:space="preserve">Organization pilots</w:t>
            </w:r>
          </w:p>
        </w:tc>
        <w:tc>
          <w:tcPr>
            <w:tcW w:w="3120" w:type="dxa"/>
          </w:tcPr>
          <w:p>
            <w:pPr>
              <w:spacing w:after="0"/>
            </w:pPr>
            <w:r>
              <w:t xml:space="preserve">0 sessions, never sent</w:t>
            </w:r>
          </w:p>
        </w:tc>
        <w:tc>
          <w:tcPr>
            <w:tcW w:w="3120" w:type="dxa"/>
          </w:tcPr>
          <w:p>
            <w:pPr>
              <w:spacing w:after="0"/>
            </w:pPr>
            <w:r>
              <w:t xml:space="preserve">True zero, </w:t>
            </w:r>
            <w:r>
              <w:rPr>
                <w:rFonts w:ascii="Consolas" w:hAnsi="Consolas"/>
              </w:rPr>
              <w:t xml:space="preserve">flagged_condition_pct</w:t>
            </w:r>
            <w:r>
              <w:t xml:space="preserve"> renders null rather than 0</w:t>
            </w:r>
          </w:p>
        </w:tc>
      </w:tr>
      <w:tr>
        <w:tc>
          <w:tcPr>
            <w:tcW w:w="3120" w:type="dxa"/>
          </w:tcPr>
          <w:p>
            <w:pPr>
              <w:spacing w:after="0"/>
            </w:pPr>
            <w:r>
              <w:t xml:space="preserve">Contributor links</w:t>
            </w:r>
          </w:p>
        </w:tc>
        <w:tc>
          <w:tcPr>
            <w:tcW w:w="3120" w:type="dxa"/>
          </w:tcPr>
          <w:p>
            <w:pPr>
              <w:spacing w:after="0"/>
            </w:pPr>
            <w:r>
              <w:t xml:space="preserve">20 issued, 0 sent</w:t>
            </w:r>
          </w:p>
        </w:tc>
        <w:tc>
          <w:tcPr>
            <w:tcW w:w="3120" w:type="dxa"/>
          </w:tcPr>
          <w:p>
            <w:pPr>
              <w:spacing w:after="0"/>
            </w:pPr>
            <w:r>
              <w:t xml:space="preserve">Held pending study close; excluded from engagement rates</w:t>
            </w:r>
          </w:p>
        </w:tc>
      </w:tr>
      <w:tr>
        <w:tc>
          <w:tcPr>
            <w:tcW w:w="3120" w:type="dxa"/>
          </w:tcPr>
          <w:p>
            <w:pPr>
              <w:spacing w:after="0"/>
            </w:pPr>
            <w:r>
              <w:t xml:space="preserve">Honor links</w:t>
            </w:r>
          </w:p>
        </w:tc>
        <w:tc>
          <w:tcPr>
            <w:tcW w:w="3120" w:type="dxa"/>
          </w:tcPr>
          <w:p>
            <w:pPr>
              <w:spacing w:after="0"/>
            </w:pPr>
            <w:r>
              <w:t xml:space="preserve">34 issued, 1 sent</w:t>
            </w:r>
          </w:p>
        </w:tc>
        <w:tc>
          <w:tcPr>
            <w:tcW w:w="3120" w:type="dxa"/>
          </w:tcPr>
          <w:p>
            <w:pPr>
              <w:spacing w:after="0"/>
            </w:pPr>
            <w:r>
              <w:t xml:space="preserve">Rates published against </w:t>
            </w:r>
            <w:r>
              <w:rPr>
                <w:b/>
              </w:rPr>
              <w:t xml:space="preserve">sent</w:t>
            </w:r>
            <w:r>
              <w:t xml:space="preserve">, not issued</w:t>
            </w:r>
          </w:p>
        </w:tc>
      </w:tr>
      <w:tr>
        <w:tc>
          <w:tcPr>
            <w:tcW w:w="3120" w:type="dxa"/>
          </w:tcPr>
          <w:p>
            <w:pPr>
              <w:spacing w:after="0"/>
            </w:pPr>
            <w:r>
              <w:t xml:space="preserve">Evaluation funnel</w:t>
            </w:r>
          </w:p>
        </w:tc>
        <w:tc>
          <w:tcPr>
            <w:tcW w:w="3120" w:type="dxa"/>
          </w:tcPr>
          <w:p>
            <w:pPr>
              <w:spacing w:after="0"/>
            </w:pPr>
            <w:r>
              <w:t xml:space="preserve">0 at every stage</w:t>
            </w:r>
          </w:p>
        </w:tc>
        <w:tc>
          <w:tcPr>
            <w:tcW w:w="3120" w:type="dxa"/>
          </w:tcPr>
          <w:p>
            <w:pPr>
              <w:spacing w:after="0"/>
            </w:pPr>
            <w:r>
              <w:t xml:space="preserve">True zero, verified: the write path works and no one has opened it</w:t>
            </w:r>
          </w:p>
        </w:tc>
      </w:tr>
      <w:tr>
        <w:tc>
          <w:tcPr>
            <w:tcW w:w="3120" w:type="dxa"/>
          </w:tcPr>
          <w:p>
            <w:pPr>
              <w:spacing w:after="0"/>
            </w:pPr>
            <w:r>
              <w:t xml:space="preserve">Evaluation sub-group breakdowns</w:t>
            </w:r>
          </w:p>
        </w:tc>
        <w:tc>
          <w:tcPr>
            <w:tcW w:w="3120" w:type="dxa"/>
          </w:tcPr>
          <w:p>
            <w:pPr>
              <w:spacing w:after="0"/>
            </w:pPr>
            <w:r>
              <w:t xml:space="preserve">withheld</w:t>
            </w:r>
          </w:p>
        </w:tc>
        <w:tc>
          <w:tcPr>
            <w:tcW w:w="3120" w:type="dxa"/>
          </w:tcPr>
          <w:p>
            <w:pPr>
              <w:spacing w:after="0"/>
            </w:pPr>
            <w:r>
              <w:t xml:space="preserve">Released at n=30. </w:t>
            </w:r>
            <w:r>
              <w:rPr>
                <w:rFonts w:ascii="Consolas" w:hAnsi="Consolas"/>
              </w:rPr>
              <w:t xml:space="preserve">breakdowns_released: false</w:t>
            </w:r>
            <w:r>
              <w:t xml:space="preserve"> with the reason published</w:t>
            </w:r>
          </w:p>
        </w:tc>
      </w:tr>
    </w:tbl>
    <w:p>
      <w:pPr/>
      <w:r>
        <w:t/>
      </w:r>
    </w:p>
    <w:p>
      <w:pPr>
        <w:spacing w:after="140"/>
      </w:pPr>
      <w:r>
        <w:t xml:space="preserve">No cohort contributes to a denominator it does not belong in. Every zero above is either a verified true zero or an explicitly stated withholding.</w:t>
      </w:r>
    </w:p>
    <w:p>
      <w:pPr>
        <w:pBdr>
          <w:bottom w:val="single" w:sz="6" w:space="1" w:color="AAAAAA"/>
        </w:pBdr>
      </w:pPr>
    </w:p>
    <w:p>
      <w:pPr>
        <w:pStyle w:val="Heading2"/>
        <w:spacing w:after="140"/>
      </w:pPr>
      <w:r>
        <w:t xml:space="preserve">5. JRS trademark evidence dossier</w:t>
      </w:r>
    </w:p>
    <w:p>
      <w:pPr>
        <w:spacing w:after="140"/>
      </w:pPr>
      <w:r>
        <w:rPr>
          <w:b/>
        </w:rPr>
        <w:t xml:space="preserve">Mark:</w:t>
      </w:r>
      <w:r>
        <w:t xml:space="preserve"> JUSTIFICATION REVIEW STANDARD</w:t>
      </w:r>
    </w:p>
    <w:p>
      <w:pPr>
        <w:spacing w:after="140"/>
      </w:pPr>
      <w:r>
        <w:rPr>
          <w:b/>
        </w:rPr>
        <w:t xml:space="preserve">Representation:</w:t>
      </w:r>
      <w:r>
        <w:t xml:space="preserve"> standard characters</w:t>
      </w:r>
    </w:p>
    <w:p>
      <w:pPr>
        <w:spacing w:after="140"/>
      </w:pPr>
      <w:r>
        <w:rPr>
          <w:b/>
        </w:rPr>
        <w:t xml:space="preserve">Proposed classes:</w:t>
      </w:r>
      <w:r>
        <w:t xml:space="preserve"> 042, 035</w:t>
      </w:r>
    </w:p>
    <w:p>
      <w:pPr>
        <w:pStyle w:val="Heading3"/>
        <w:spacing w:after="140"/>
      </w:pPr>
      <w:r>
        <w:t xml:space="preserve">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Item</w:t>
            </w:r>
          </w:p>
        </w:tc>
        <w:tc>
          <w:tcPr>
            <w:tcW w:w="1872" w:type="dxa"/>
          </w:tcPr>
          <w:p>
            <w:pPr>
              <w:spacing w:after="0"/>
            </w:pPr>
            <w:r>
              <w:t xml:space="preserve">Date</w:t>
            </w:r>
          </w:p>
        </w:tc>
        <w:tc>
          <w:tcPr>
            <w:tcW w:w="1872" w:type="dxa"/>
          </w:tcPr>
          <w:p>
            <w:pPr>
              <w:spacing w:after="0"/>
            </w:pPr>
            <w:r>
              <w:t xml:space="preserve">Evidence</w:t>
            </w:r>
          </w:p>
        </w:tc>
        <w:tc>
          <w:tcPr>
            <w:tcW w:w="1872" w:type="dxa"/>
          </w:tcPr>
          <w:p>
            <w:pPr>
              <w:spacing w:after="0"/>
            </w:pPr>
            <w:r>
              <w:t xml:space="preserve">Source</w:t>
            </w:r>
          </w:p>
        </w:tc>
        <w:tc>
          <w:tcPr>
            <w:tcW w:w="1872" w:type="dxa"/>
          </w:tcPr>
          <w:p>
            <w:pPr>
              <w:spacing w:after="0"/>
            </w:pPr>
            <w:r>
              <w:t xml:space="preserve">Confidence</w:t>
            </w:r>
          </w:p>
        </w:tc>
      </w:tr>
      <w:tr>
        <w:tc>
          <w:tcPr>
            <w:tcW w:w="1872" w:type="dxa"/>
          </w:tcPr>
          <w:p>
            <w:pPr>
              <w:spacing w:after="0"/>
            </w:pPr>
            <w:r>
              <w:t xml:space="preserve">Earliest repository appearance</w:t>
            </w:r>
          </w:p>
        </w:tc>
        <w:tc>
          <w:tcPr>
            <w:tcW w:w="1872" w:type="dxa"/>
          </w:tcPr>
          <w:p>
            <w:pPr>
              <w:spacing w:after="0"/>
            </w:pPr>
            <w:r>
              <w:rPr>
                <w:b/>
              </w:rPr>
              <w:t xml:space="preserve">2026-04-14</w:t>
            </w:r>
          </w:p>
        </w:tc>
        <w:tc>
          <w:tcPr>
            <w:tcW w:w="1872" w:type="dxa"/>
          </w:tcPr>
          <w:p>
            <w:pPr>
              <w:spacing w:after="0"/>
            </w:pPr>
            <w:r>
              <w:t xml:space="preserve">commit </w:t>
            </w:r>
            <w:r>
              <w:rPr>
                <w:rFonts w:ascii="Consolas" w:hAnsi="Consolas"/>
              </w:rPr>
              <w:t xml:space="preserve">06e99ce</w:t>
            </w:r>
            <w:r>
              <w:t xml:space="preserve">, first commit containing the wording in an HTML file</w:t>
            </w:r>
          </w:p>
        </w:tc>
        <w:tc>
          <w:tcPr>
            <w:tcW w:w="1872" w:type="dxa"/>
          </w:tcPr>
          <w:p>
            <w:pPr>
              <w:spacing w:after="0"/>
            </w:pPr>
            <w:r>
              <w:rPr>
                <w:rFonts w:ascii="Consolas" w:hAnsi="Consolas"/>
              </w:rPr>
              <w:t xml:space="preserve">git log -S</w:t>
            </w:r>
          </w:p>
        </w:tc>
        <w:tc>
          <w:tcPr>
            <w:tcW w:w="1872" w:type="dxa"/>
          </w:tcPr>
          <w:p>
            <w:pPr>
              <w:spacing w:after="0"/>
            </w:pPr>
            <w:r>
              <w:t xml:space="preserve">High for the commit; </w:t>
            </w:r>
            <w:r>
              <w:rPr>
                <w:b/>
              </w:rPr>
              <w:t xml:space="preserve">this is internal drafting, not public use</w:t>
            </w:r>
          </w:p>
        </w:tc>
      </w:tr>
      <w:tr>
        <w:tc>
          <w:tcPr>
            <w:tcW w:w="1872" w:type="dxa"/>
          </w:tcPr>
          <w:p>
            <w:pPr>
              <w:spacing w:after="0"/>
            </w:pPr>
            <w:r>
              <w:t xml:space="preserve">Earliest appearance on the production branch</w:t>
            </w:r>
          </w:p>
        </w:tc>
        <w:tc>
          <w:tcPr>
            <w:tcW w:w="1872" w:type="dxa"/>
          </w:tcPr>
          <w:p>
            <w:pPr>
              <w:spacing w:after="0"/>
            </w:pPr>
            <w:r>
              <w:rPr>
                <w:b/>
              </w:rPr>
              <w:t xml:space="preserve">2026-07-07</w:t>
            </w:r>
          </w:p>
        </w:tc>
        <w:tc>
          <w:tcPr>
            <w:tcW w:w="1872" w:type="dxa"/>
          </w:tcPr>
          <w:p>
            <w:pPr>
              <w:spacing w:after="0"/>
            </w:pPr>
            <w:r>
              <w:t xml:space="preserve">commit </w:t>
            </w:r>
            <w:r>
              <w:rPr>
                <w:rFonts w:ascii="Consolas" w:hAnsi="Consolas"/>
              </w:rPr>
              <w:t xml:space="preserve">40e6cdd</w:t>
            </w:r>
          </w:p>
        </w:tc>
        <w:tc>
          <w:tcPr>
            <w:tcW w:w="1872" w:type="dxa"/>
          </w:tcPr>
          <w:p>
            <w:pPr>
              <w:spacing w:after="0"/>
            </w:pPr>
            <w:r>
              <w:rPr>
                <w:rFonts w:ascii="Consolas" w:hAnsi="Consolas"/>
              </w:rPr>
              <w:t xml:space="preserve">git log origin/main -S</w:t>
            </w:r>
          </w:p>
        </w:tc>
        <w:tc>
          <w:tcPr>
            <w:tcW w:w="1872" w:type="dxa"/>
          </w:tcPr>
          <w:p>
            <w:pPr>
              <w:spacing w:after="0"/>
            </w:pPr>
            <w:r>
              <w:t xml:space="preserve">Medium. </w:t>
            </w:r>
            <w:r>
              <w:rPr>
                <w:rFonts w:ascii="Consolas" w:hAnsi="Consolas"/>
              </w:rPr>
              <w:t xml:space="preserve">40e6cdd</w:t>
            </w:r>
            <w:r>
              <w:t xml:space="preserve"> is a 110-file bulk import and is the first commit on that branch, so it is a </w:t>
            </w:r>
            <w:r>
              <w:rPr>
                <w:b/>
              </w:rPr>
              <w:t xml:space="preserve">floor</w:t>
            </w:r>
            <w:r>
              <w:t xml:space="preserve">, not a proven first public date</w:t>
            </w:r>
          </w:p>
        </w:tc>
      </w:tr>
      <w:tr>
        <w:tc>
          <w:tcPr>
            <w:tcW w:w="1872" w:type="dxa"/>
          </w:tcPr>
          <w:p>
            <w:pPr>
              <w:spacing w:after="0"/>
            </w:pPr>
            <w:r>
              <w:t xml:space="preserve">Current public use</w:t>
            </w:r>
          </w:p>
        </w:tc>
        <w:tc>
          <w:tcPr>
            <w:tcW w:w="1872" w:type="dxa"/>
          </w:tcPr>
          <w:p>
            <w:pPr>
              <w:spacing w:after="0"/>
            </w:pPr>
            <w:r>
              <w:rPr>
                <w:b/>
              </w:rPr>
              <w:t xml:space="preserve">2026-08-11</w:t>
            </w:r>
          </w:p>
        </w:tc>
        <w:tc>
          <w:tcPr>
            <w:tcW w:w="1872" w:type="dxa"/>
          </w:tcPr>
          <w:p>
            <w:pPr>
              <w:spacing w:after="0"/>
            </w:pPr>
            <w:r>
              <w:t xml:space="preserve">live on </w:t>
            </w:r>
            <w:r>
              <w:rPr>
                <w:rFonts w:ascii="Consolas" w:hAnsi="Consolas"/>
              </w:rPr>
              <w:t xml:space="preserve">jrsstandard.com/</w:t>
            </w:r>
            <w:r>
              <w:t xml:space="preserve">, </w:t>
            </w:r>
            <w:r>
              <w:rPr>
                <w:rFonts w:ascii="Consolas" w:hAnsi="Consolas"/>
              </w:rPr>
              <w:t xml:space="preserve">/jrsstandard.html</w:t>
            </w:r>
            <w:r>
              <w:t xml:space="preserve">, </w:t>
            </w:r>
            <w:r>
              <w:rPr>
                <w:rFonts w:ascii="Consolas" w:hAnsi="Consolas"/>
              </w:rPr>
              <w:t xml:space="preserve">/decision-reconstruction-risk.html</w:t>
            </w:r>
          </w:p>
        </w:tc>
        <w:tc>
          <w:tcPr>
            <w:tcW w:w="1872" w:type="dxa"/>
          </w:tcPr>
          <w:p>
            <w:pPr>
              <w:spacing w:after="0"/>
            </w:pPr>
            <w:r>
              <w:t xml:space="preserve">HTTP fetch performed this date</w:t>
            </w:r>
          </w:p>
        </w:tc>
        <w:tc>
          <w:tcPr>
            <w:tcW w:w="1872" w:type="dxa"/>
          </w:tcPr>
          <w:p>
            <w:pPr>
              <w:spacing w:after="0"/>
            </w:pPr>
            <w:r>
              <w:t xml:space="preserve">High</w:t>
            </w:r>
          </w:p>
        </w:tc>
      </w:tr>
      <w:tr>
        <w:tc>
          <w:tcPr>
            <w:tcW w:w="1872" w:type="dxa"/>
          </w:tcPr>
          <w:p>
            <w:pPr>
              <w:spacing w:after="0"/>
            </w:pPr>
            <w:r>
              <w:t xml:space="preserve">First use anywhere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r>
        <w:tc>
          <w:tcPr>
            <w:tcW w:w="1872" w:type="dxa"/>
          </w:tcPr>
          <w:p>
            <w:pPr>
              <w:spacing w:after="0"/>
            </w:pPr>
            <w:r>
              <w:t xml:space="preserve">First use in commerce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bl>
    <w:p>
      <w:pPr/>
      <w:r>
        <w:t/>
      </w:r>
    </w:p>
    <w:p>
      <w:pPr>
        <w:spacing w:after="140"/>
      </w:pPr>
      <w:r>
        <w:t xml:space="preserve">The repository cannot distinguish a commit date from a publication date. Deployment history lives with the hosting provider, not here.</w:t>
      </w:r>
    </w:p>
    <w:p>
      <w:pPr>
        <w:pStyle w:val="Heading3"/>
        <w:spacing w:after="140"/>
      </w:pPr>
      <w:r>
        <w:t xml:space="preserve">Specimen candidates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Path</w:t>
            </w:r>
          </w:p>
        </w:tc>
        <w:tc>
          <w:tcPr>
            <w:tcW w:w="1872" w:type="dxa"/>
          </w:tcPr>
          <w:p>
            <w:pPr>
              <w:spacing w:after="0"/>
            </w:pPr>
            <w:r>
              <w:t xml:space="preserve">Type</w:t>
            </w:r>
          </w:p>
        </w:tc>
        <w:tc>
          <w:tcPr>
            <w:tcW w:w="1872" w:type="dxa"/>
          </w:tcPr>
          <w:p>
            <w:pPr>
              <w:spacing w:after="0"/>
            </w:pPr>
            <w:r>
              <w:t xml:space="preserve">Mark visible</w:t>
            </w:r>
          </w:p>
        </w:tc>
        <w:tc>
          <w:tcPr>
            <w:tcW w:w="1872" w:type="dxa"/>
          </w:tcPr>
          <w:p>
            <w:pPr>
              <w:spacing w:after="0"/>
            </w:pPr>
            <w:r>
              <w:t xml:space="preserve">Demonstrates use with the claimed services</w:t>
            </w:r>
          </w:p>
        </w:tc>
        <w:tc>
          <w:tcPr>
            <w:tcW w:w="1872" w:type="dxa"/>
          </w:tcPr>
          <w:p>
            <w:pPr>
              <w:spacing w:after="0"/>
            </w:pPr>
            <w:r>
              <w:t xml:space="preserve">Notes</w:t>
            </w:r>
          </w:p>
        </w:tc>
      </w:tr>
      <w:tr>
        <w:tc>
          <w:tcPr>
            <w:tcW w:w="1872" w:type="dxa"/>
          </w:tcPr>
          <w:p>
            <w:pPr>
              <w:spacing w:after="0"/>
            </w:pPr>
            <w:r>
              <w:rPr>
                <w:rFonts w:ascii="Consolas" w:hAnsi="Consolas"/>
              </w:rPr>
              <w:t xml:space="preserve">JRS-Standard.pdf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The standard itself; a publication, not obviously a service offering</w:t>
            </w:r>
          </w:p>
        </w:tc>
      </w:tr>
      <w:tr>
        <w:tc>
          <w:tcPr>
            <w:tcW w:w="1872" w:type="dxa"/>
          </w:tcPr>
          <w:p>
            <w:pPr>
              <w:spacing w:after="0"/>
            </w:pPr>
            <w:r>
              <w:rPr>
                <w:rFonts w:ascii="Consolas" w:hAnsi="Consolas"/>
              </w:rPr>
              <w:t xml:space="preserve">JRS_Investigator_Field_Guide_*.pdf</w:t>
            </w:r>
            <w:r>
              <w:t xml:space="preserve"> (3 editions)</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Practitioner guides, distributed free</w:t>
            </w:r>
          </w:p>
        </w:tc>
      </w:tr>
      <w:tr>
        <w:tc>
          <w:tcPr>
            <w:tcW w:w="1872" w:type="dxa"/>
          </w:tcPr>
          <w:p>
            <w:pPr>
              <w:spacing w:after="0"/>
            </w:pPr>
            <w:r>
              <w:rPr>
                <w:rFonts w:ascii="Consolas" w:hAnsi="Consolas"/>
              </w:rPr>
              <w:t xml:space="preserve">JRS_Rapid_Review_Card.pdf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Reference card</w:t>
            </w:r>
          </w:p>
        </w:tc>
      </w:tr>
      <w:tr>
        <w:tc>
          <w:tcPr>
            <w:tcW w:w="1872" w:type="dxa"/>
          </w:tcPr>
          <w:p>
            <w:pPr>
              <w:spacing w:after="0"/>
            </w:pPr>
            <w:r>
              <w:rPr>
                <w:rFonts w:ascii="Consolas" w:hAnsi="Consolas"/>
              </w:rPr>
              <w:t xml:space="preserve">JRS_Research_Paper.pdf</w:t>
            </w:r>
            <w:r>
              <w:t xml:space="preserve">, </w:t>
            </w:r>
            <w:r>
              <w:rPr>
                <w:rFonts w:ascii="Consolas" w:hAnsi="Consolas"/>
              </w:rPr>
              <w:t xml:space="preserve">JRS_Reliability_Accuracy.pdf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Weak</w:t>
            </w:r>
          </w:p>
        </w:tc>
        <w:tc>
          <w:tcPr>
            <w:tcW w:w="1872" w:type="dxa"/>
          </w:tcPr>
          <w:p>
            <w:pPr>
              <w:spacing w:after="0"/>
            </w:pPr>
            <w:r>
              <w:t xml:space="preserve">Research output</w:t>
            </w:r>
          </w:p>
        </w:tc>
      </w:tr>
      <w:tr>
        <w:tc>
          <w:tcPr>
            <w:tcW w:w="1872" w:type="dxa"/>
          </w:tcPr>
          <w:p>
            <w:pPr>
              <w:spacing w:after="0"/>
            </w:pPr>
            <w:r>
              <w:rPr>
                <w:rFonts w:ascii="Consolas" w:hAnsi="Consolas"/>
              </w:rPr>
              <w:t xml:space="preserve">jrsstandard.html</w:t>
            </w:r>
            <w:r>
              <w:t xml:space="preserve">, </w:t>
            </w:r>
            <w:r>
              <w:rPr>
                <w:rFonts w:ascii="Consolas" w:hAnsi="Consolas"/>
              </w:rPr>
              <w:t xml:space="preserve">index.html</w:t>
            </w:r>
          </w:p>
        </w:tc>
        <w:tc>
          <w:tcPr>
            <w:tcW w:w="1872" w:type="dxa"/>
          </w:tcPr>
          <w:p>
            <w:pPr>
              <w:spacing w:after="0"/>
            </w:pPr>
            <w:r>
              <w:t xml:space="preserve">live page</w:t>
            </w:r>
          </w:p>
        </w:tc>
        <w:tc>
          <w:tcPr>
            <w:tcW w:w="1872" w:type="dxa"/>
          </w:tcPr>
          <w:p>
            <w:pPr>
              <w:spacing w:after="0"/>
            </w:pPr>
            <w:r>
              <w:t xml:space="preserve">Yes</w:t>
            </w:r>
          </w:p>
        </w:tc>
        <w:tc>
          <w:tcPr>
            <w:tcW w:w="1872" w:type="dxa"/>
          </w:tcPr>
          <w:p>
            <w:pPr>
              <w:spacing w:after="0"/>
            </w:pPr>
            <w:r>
              <w:t xml:space="preserve">Medium</w:t>
            </w:r>
          </w:p>
        </w:tc>
        <w:tc>
          <w:tcPr>
            <w:tcW w:w="1872" w:type="dxa"/>
          </w:tcPr>
          <w:p>
            <w:pPr>
              <w:spacing w:after="0"/>
            </w:pPr>
            <w:r>
              <w:t xml:space="preserve">Describes the method and offers the review</w:t>
            </w:r>
          </w:p>
        </w:tc>
      </w:tr>
      <w:tr>
        <w:tc>
          <w:tcPr>
            <w:tcW w:w="1872" w:type="dxa"/>
          </w:tcPr>
          <w:p>
            <w:pPr>
              <w:spacing w:after="0"/>
            </w:pPr>
            <w:r>
              <w:rPr>
                <w:rFonts w:ascii="Consolas" w:hAnsi="Consolas"/>
              </w:rPr>
              <w:t xml:space="preserve">org-pilot.html</w:t>
            </w:r>
          </w:p>
        </w:tc>
        <w:tc>
          <w:tcPr>
            <w:tcW w:w="1872" w:type="dxa"/>
          </w:tcPr>
          <w:p>
            <w:pPr>
              <w:spacing w:after="0"/>
            </w:pPr>
            <w:r>
              <w:t xml:space="preserve">live page</w:t>
            </w:r>
          </w:p>
        </w:tc>
        <w:tc>
          <w:tcPr>
            <w:tcW w:w="1872" w:type="dxa"/>
          </w:tcPr>
          <w:p>
            <w:pPr>
              <w:spacing w:after="0"/>
            </w:pPr>
            <w:r>
              <w:t xml:space="preserve">Yes</w:t>
            </w:r>
          </w:p>
        </w:tc>
        <w:tc>
          <w:tcPr>
            <w:tcW w:w="1872" w:type="dxa"/>
          </w:tcPr>
          <w:p>
            <w:pPr>
              <w:spacing w:after="0"/>
            </w:pPr>
            <w:r>
              <w:rPr>
                <w:b/>
              </w:rPr>
              <w:t xml:space="preserve">Strongest available</w:t>
            </w:r>
          </w:p>
        </w:tc>
        <w:tc>
          <w:tcPr>
            <w:tcW w:w="1872" w:type="dxa"/>
          </w:tcPr>
          <w:p>
            <w:pPr>
              <w:spacing w:after="0"/>
            </w:pPr>
            <w:r>
              <w:t xml:space="preserve">Offers a diagnostic review of the user's own records, which is closest to the Class 042 services</w:t>
            </w:r>
          </w:p>
        </w:tc>
      </w:tr>
    </w:tbl>
    <w:p>
      <w:pPr/>
      <w:r>
        <w:t/>
      </w:r>
    </w:p>
    <w:p>
      <w:pPr>
        <w:spacing w:after="140"/>
      </w:pPr>
      <w:r>
        <w:rPr>
          <w:b/>
        </w:rPr>
        <w:t xml:space="preserve">No specimen in this repository has been assessed as acceptable to the USPTO.</w:t>
      </w:r>
      <w:r>
        <w:t xml:space="preserve"> A document containing the mark is not automatically a specimen of use in connection with the identified services.</w:t>
      </w:r>
    </w:p>
    <w:p>
      <w:pPr>
        <w:pStyle w:val="Heading3"/>
        <w:spacing w:after="140"/>
      </w:pPr>
      <w:r>
        <w:t xml:space="preserve">Commercial use</w:t>
      </w:r>
    </w:p>
    <w:p>
      <w:pPr>
        <w:spacing w:after="140"/>
      </w:pPr>
      <w:r>
        <w:t xml:space="preserve">Searched for </w:t>
      </w:r>
      <w:r>
        <w:rPr>
          <w:rFonts w:ascii="Consolas" w:hAnsi="Consolas"/>
        </w:rPr>
        <w:t xml:space="preserve">price</w:t>
      </w:r>
      <w:r>
        <w:t xml:space="preserve">, </w:t>
      </w:r>
      <w:r>
        <w:rPr>
          <w:rFonts w:ascii="Consolas" w:hAnsi="Consolas"/>
        </w:rPr>
        <w:t xml:space="preserve">purchase</w:t>
      </w:r>
      <w:r>
        <w:t xml:space="preserve">, </w:t>
      </w:r>
      <w:r>
        <w:rPr>
          <w:rFonts w:ascii="Consolas" w:hAnsi="Consolas"/>
        </w:rPr>
        <w:t xml:space="preserve">invoice</w:t>
      </w:r>
      <w:r>
        <w:t xml:space="preserve">, </w:t>
      </w:r>
      <w:r>
        <w:rPr>
          <w:rFonts w:ascii="Consolas" w:hAnsi="Consolas"/>
        </w:rPr>
        <w:t xml:space="preserve">subscription</w:t>
      </w:r>
      <w:r>
        <w:t xml:space="preserve">, </w:t>
      </w:r>
      <w:r>
        <w:rPr>
          <w:rFonts w:ascii="Consolas" w:hAnsi="Consolas"/>
        </w:rPr>
        <w:t xml:space="preserve">licence fee</w:t>
      </w:r>
      <w:r>
        <w:t xml:space="preserve">, </w:t>
      </w:r>
      <w:r>
        <w:rPr>
          <w:rFonts w:ascii="Consolas" w:hAnsi="Consolas"/>
        </w:rPr>
        <w:t xml:space="preserve">paid</w:t>
      </w:r>
      <w:r>
        <w:t xml:space="preserve">. Nothing establishes a sale, a paid service, or a commercial transaction. The site states repeatedly that access is free. </w:t>
      </w:r>
      <w:r>
        <w:rPr>
          <w:b/>
        </w:rPr>
        <w:t xml:space="preserve">Commercial use: NOT ESTABLISHED BY REPOSITORY EVIDENCE.</w:t>
      </w:r>
    </w:p>
    <w:p>
      <w:pPr>
        <w:pBdr>
          <w:bottom w:val="single" w:sz="6" w:space="1" w:color="AAAAAA"/>
        </w:pBdr>
      </w:pPr>
    </w:p>
    <w:p>
      <w:pPr>
        <w:pStyle w:val="Heading2"/>
        <w:spacing w:after="140"/>
      </w:pPr>
      <w:r>
        <w:t xml:space="preserve">6. DRR trademark evidence dossier</w:t>
      </w:r>
    </w:p>
    <w:p>
      <w:pPr>
        <w:spacing w:after="140"/>
      </w:pPr>
      <w:r>
        <w:rPr>
          <w:b/>
        </w:rPr>
        <w:t xml:space="preserve">Mark:</w:t>
      </w:r>
      <w:r>
        <w:t xml:space="preserve"> DECISION RECONSTRUCTION RISK</w:t>
      </w:r>
    </w:p>
    <w:p>
      <w:pPr>
        <w:spacing w:after="140"/>
      </w:pPr>
      <w:r>
        <w:rPr>
          <w:b/>
        </w:rPr>
        <w:t xml:space="preserve">Representation:</w:t>
      </w:r>
      <w:r>
        <w:t xml:space="preserve"> standard characters</w:t>
      </w:r>
    </w:p>
    <w:p>
      <w:pPr>
        <w:spacing w:after="140"/>
      </w:pPr>
      <w:r>
        <w:rPr>
          <w:b/>
        </w:rPr>
        <w:t xml:space="preserve">Proposed class:</w:t>
      </w:r>
      <w:r>
        <w:t xml:space="preserve"> 042</w:t>
      </w:r>
    </w:p>
    <w:p>
      <w:pPr>
        <w:pStyle w:val="Heading3"/>
        <w:spacing w:after="140"/>
      </w:pPr>
      <w:r>
        <w:t xml:space="preserve">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Item</w:t>
            </w:r>
          </w:p>
        </w:tc>
        <w:tc>
          <w:tcPr>
            <w:tcW w:w="1872" w:type="dxa"/>
          </w:tcPr>
          <w:p>
            <w:pPr>
              <w:spacing w:after="0"/>
            </w:pPr>
            <w:r>
              <w:t xml:space="preserve">Date</w:t>
            </w:r>
          </w:p>
        </w:tc>
        <w:tc>
          <w:tcPr>
            <w:tcW w:w="1872" w:type="dxa"/>
          </w:tcPr>
          <w:p>
            <w:pPr>
              <w:spacing w:after="0"/>
            </w:pPr>
            <w:r>
              <w:t xml:space="preserve">Evidence</w:t>
            </w:r>
          </w:p>
        </w:tc>
        <w:tc>
          <w:tcPr>
            <w:tcW w:w="1872" w:type="dxa"/>
          </w:tcPr>
          <w:p>
            <w:pPr>
              <w:spacing w:after="0"/>
            </w:pPr>
            <w:r>
              <w:t xml:space="preserve">Source</w:t>
            </w:r>
          </w:p>
        </w:tc>
        <w:tc>
          <w:tcPr>
            <w:tcW w:w="1872" w:type="dxa"/>
          </w:tcPr>
          <w:p>
            <w:pPr>
              <w:spacing w:after="0"/>
            </w:pPr>
            <w:r>
              <w:t xml:space="preserve">Confidence</w:t>
            </w:r>
          </w:p>
        </w:tc>
      </w:tr>
      <w:tr>
        <w:tc>
          <w:tcPr>
            <w:tcW w:w="1872" w:type="dxa"/>
          </w:tcPr>
          <w:p>
            <w:pPr>
              <w:spacing w:after="0"/>
            </w:pPr>
            <w:r>
              <w:t xml:space="preserve">Earliest repository appearance</w:t>
            </w:r>
          </w:p>
        </w:tc>
        <w:tc>
          <w:tcPr>
            <w:tcW w:w="1872" w:type="dxa"/>
          </w:tcPr>
          <w:p>
            <w:pPr>
              <w:spacing w:after="0"/>
            </w:pPr>
            <w:r>
              <w:rPr>
                <w:b/>
              </w:rPr>
              <w:t xml:space="preserve">2026-06-23</w:t>
            </w:r>
          </w:p>
        </w:tc>
        <w:tc>
          <w:tcPr>
            <w:tcW w:w="1872" w:type="dxa"/>
          </w:tcPr>
          <w:p>
            <w:pPr>
              <w:spacing w:after="0"/>
            </w:pPr>
            <w:r>
              <w:t xml:space="preserve">commit </w:t>
            </w:r>
            <w:r>
              <w:rPr>
                <w:rFonts w:ascii="Consolas" w:hAnsi="Consolas"/>
              </w:rPr>
              <w:t xml:space="preserve">9ea3687</w:t>
            </w:r>
            <w:r>
              <w:t xml:space="preserve">, first commit containing the wording in an HTML file</w:t>
            </w:r>
          </w:p>
        </w:tc>
        <w:tc>
          <w:tcPr>
            <w:tcW w:w="1872" w:type="dxa"/>
          </w:tcPr>
          <w:p>
            <w:pPr>
              <w:spacing w:after="0"/>
            </w:pPr>
            <w:r>
              <w:rPr>
                <w:rFonts w:ascii="Consolas" w:hAnsi="Consolas"/>
              </w:rPr>
              <w:t xml:space="preserve">git log -S</w:t>
            </w:r>
          </w:p>
        </w:tc>
        <w:tc>
          <w:tcPr>
            <w:tcW w:w="1872" w:type="dxa"/>
          </w:tcPr>
          <w:p>
            <w:pPr>
              <w:spacing w:after="0"/>
            </w:pPr>
            <w:r>
              <w:t xml:space="preserve">High for the commit; internal drafting, not public use</w:t>
            </w:r>
          </w:p>
        </w:tc>
      </w:tr>
      <w:tr>
        <w:tc>
          <w:tcPr>
            <w:tcW w:w="1872" w:type="dxa"/>
          </w:tcPr>
          <w:p>
            <w:pPr>
              <w:spacing w:after="0"/>
            </w:pPr>
            <w:r>
              <w:t xml:space="preserve">Earliest appearance on the production branch</w:t>
            </w:r>
          </w:p>
        </w:tc>
        <w:tc>
          <w:tcPr>
            <w:tcW w:w="1872" w:type="dxa"/>
          </w:tcPr>
          <w:p>
            <w:pPr>
              <w:spacing w:after="0"/>
            </w:pPr>
            <w:r>
              <w:rPr>
                <w:b/>
              </w:rPr>
              <w:t xml:space="preserve">2026-07-07</w:t>
            </w:r>
          </w:p>
        </w:tc>
        <w:tc>
          <w:tcPr>
            <w:tcW w:w="1872" w:type="dxa"/>
          </w:tcPr>
          <w:p>
            <w:pPr>
              <w:spacing w:after="0"/>
            </w:pPr>
            <w:r>
              <w:t xml:space="preserve">commit </w:t>
            </w:r>
            <w:r>
              <w:rPr>
                <w:rFonts w:ascii="Consolas" w:hAnsi="Consolas"/>
              </w:rPr>
              <w:t xml:space="preserve">40e6cdd</w:t>
            </w:r>
          </w:p>
        </w:tc>
        <w:tc>
          <w:tcPr>
            <w:tcW w:w="1872" w:type="dxa"/>
          </w:tcPr>
          <w:p>
            <w:pPr>
              <w:spacing w:after="0"/>
            </w:pPr>
            <w:r>
              <w:rPr>
                <w:rFonts w:ascii="Consolas" w:hAnsi="Consolas"/>
              </w:rPr>
              <w:t xml:space="preserve">git log origin/main -S</w:t>
            </w:r>
          </w:p>
        </w:tc>
        <w:tc>
          <w:tcPr>
            <w:tcW w:w="1872" w:type="dxa"/>
          </w:tcPr>
          <w:p>
            <w:pPr>
              <w:spacing w:after="0"/>
            </w:pPr>
            <w:r>
              <w:t xml:space="preserve">Medium, same bulk-import caveat</w:t>
            </w:r>
          </w:p>
        </w:tc>
      </w:tr>
      <w:tr>
        <w:tc>
          <w:tcPr>
            <w:tcW w:w="1872" w:type="dxa"/>
          </w:tcPr>
          <w:p>
            <w:pPr>
              <w:spacing w:after="0"/>
            </w:pPr>
            <w:r>
              <w:t xml:space="preserve">Current public use</w:t>
            </w:r>
          </w:p>
        </w:tc>
        <w:tc>
          <w:tcPr>
            <w:tcW w:w="1872" w:type="dxa"/>
          </w:tcPr>
          <w:p>
            <w:pPr>
              <w:spacing w:after="0"/>
            </w:pPr>
            <w:r>
              <w:rPr>
                <w:b/>
              </w:rPr>
              <w:t xml:space="preserve">2026-08-11</w:t>
            </w:r>
          </w:p>
        </w:tc>
        <w:tc>
          <w:tcPr>
            <w:tcW w:w="1872" w:type="dxa"/>
          </w:tcPr>
          <w:p>
            <w:pPr>
              <w:spacing w:after="0"/>
            </w:pPr>
            <w:r>
              <w:t xml:space="preserve">live on </w:t>
            </w:r>
            <w:r>
              <w:rPr>
                <w:rFonts w:ascii="Consolas" w:hAnsi="Consolas"/>
              </w:rPr>
              <w:t xml:space="preserve">/decision-reconstruction-risk.html</w:t>
            </w:r>
            <w:r>
              <w:t xml:space="preserve">, 12 occurrences on that page</w:t>
            </w:r>
          </w:p>
        </w:tc>
        <w:tc>
          <w:tcPr>
            <w:tcW w:w="1872" w:type="dxa"/>
          </w:tcPr>
          <w:p>
            <w:pPr>
              <w:spacing w:after="0"/>
            </w:pPr>
            <w:r>
              <w:t xml:space="preserve">HTTP fetch performed this date</w:t>
            </w:r>
          </w:p>
        </w:tc>
        <w:tc>
          <w:tcPr>
            <w:tcW w:w="1872" w:type="dxa"/>
          </w:tcPr>
          <w:p>
            <w:pPr>
              <w:spacing w:after="0"/>
            </w:pPr>
            <w:r>
              <w:t xml:space="preserve">High</w:t>
            </w:r>
          </w:p>
        </w:tc>
      </w:tr>
      <w:tr>
        <w:tc>
          <w:tcPr>
            <w:tcW w:w="1872" w:type="dxa"/>
          </w:tcPr>
          <w:p>
            <w:pPr>
              <w:spacing w:after="0"/>
            </w:pPr>
            <w:r>
              <w:t xml:space="preserve">First use anywhere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r>
        <w:tc>
          <w:tcPr>
            <w:tcW w:w="1872" w:type="dxa"/>
          </w:tcPr>
          <w:p>
            <w:pPr>
              <w:spacing w:after="0"/>
            </w:pPr>
            <w:r>
              <w:t xml:space="preserve">First use in commerce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bl>
    <w:p>
      <w:pPr/>
      <w:r>
        <w:t/>
      </w:r>
    </w:p>
    <w:p>
      <w:pPr>
        <w:pStyle w:val="Heading3"/>
        <w:spacing w:after="140"/>
      </w:pPr>
      <w:r>
        <w:t xml:space="preserve">Specimen candidates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Path</w:t>
            </w:r>
          </w:p>
        </w:tc>
        <w:tc>
          <w:tcPr>
            <w:tcW w:w="1872" w:type="dxa"/>
          </w:tcPr>
          <w:p>
            <w:pPr>
              <w:spacing w:after="0"/>
            </w:pPr>
            <w:r>
              <w:t xml:space="preserve">Type</w:t>
            </w:r>
          </w:p>
        </w:tc>
        <w:tc>
          <w:tcPr>
            <w:tcW w:w="1872" w:type="dxa"/>
          </w:tcPr>
          <w:p>
            <w:pPr>
              <w:spacing w:after="0"/>
            </w:pPr>
            <w:r>
              <w:t xml:space="preserve">Mark visible</w:t>
            </w:r>
          </w:p>
        </w:tc>
        <w:tc>
          <w:tcPr>
            <w:tcW w:w="1872" w:type="dxa"/>
          </w:tcPr>
          <w:p>
            <w:pPr>
              <w:spacing w:after="0"/>
            </w:pPr>
            <w:r>
              <w:t xml:space="preserve">Demonstrates use with the claimed services</w:t>
            </w:r>
          </w:p>
        </w:tc>
        <w:tc>
          <w:tcPr>
            <w:tcW w:w="1872" w:type="dxa"/>
          </w:tcPr>
          <w:p>
            <w:pPr>
              <w:spacing w:after="0"/>
            </w:pPr>
            <w:r>
              <w:t xml:space="preserve">Notes</w:t>
            </w:r>
          </w:p>
        </w:tc>
      </w:tr>
      <w:tr>
        <w:tc>
          <w:tcPr>
            <w:tcW w:w="1872" w:type="dxa"/>
          </w:tcPr>
          <w:p>
            <w:pPr>
              <w:spacing w:after="0"/>
            </w:pPr>
            <w:r>
              <w:rPr>
                <w:rFonts w:ascii="Consolas" w:hAnsi="Consolas"/>
              </w:rPr>
              <w:t xml:space="preserve">decision-reconstruction-risk.html</w:t>
            </w:r>
          </w:p>
        </w:tc>
        <w:tc>
          <w:tcPr>
            <w:tcW w:w="1872" w:type="dxa"/>
          </w:tcPr>
          <w:p>
            <w:pPr>
              <w:spacing w:after="0"/>
            </w:pPr>
            <w:r>
              <w:t xml:space="preserve">live page</w:t>
            </w:r>
          </w:p>
        </w:tc>
        <w:tc>
          <w:tcPr>
            <w:tcW w:w="1872" w:type="dxa"/>
          </w:tcPr>
          <w:p>
            <w:pPr>
              <w:spacing w:after="0"/>
            </w:pPr>
            <w:r>
              <w:t xml:space="preserve">Yes, 12 occurrences</w:t>
            </w:r>
          </w:p>
        </w:tc>
        <w:tc>
          <w:tcPr>
            <w:tcW w:w="1872" w:type="dxa"/>
          </w:tcPr>
          <w:p>
            <w:pPr>
              <w:spacing w:after="0"/>
            </w:pPr>
            <w:r>
              <w:rPr>
                <w:b/>
              </w:rPr>
              <w:t xml:space="preserve">Strongest available</w:t>
            </w:r>
          </w:p>
        </w:tc>
        <w:tc>
          <w:tcPr>
            <w:tcW w:w="1872" w:type="dxa"/>
          </w:tcPr>
          <w:p>
            <w:pPr>
              <w:spacing w:after="0"/>
            </w:pPr>
            <w:r>
              <w:t xml:space="preserve">The mark's dedicated page</w:t>
            </w:r>
          </w:p>
        </w:tc>
      </w:tr>
      <w:tr>
        <w:tc>
          <w:tcPr>
            <w:tcW w:w="1872" w:type="dxa"/>
          </w:tcPr>
          <w:p>
            <w:pPr>
              <w:spacing w:after="0"/>
            </w:pPr>
            <w:r>
              <w:rPr>
                <w:rFonts w:ascii="Consolas" w:hAnsi="Consolas"/>
              </w:rPr>
              <w:t xml:space="preserve">DRR_Article.pdf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Article, not a service offering</w:t>
            </w:r>
          </w:p>
        </w:tc>
      </w:tr>
      <w:tr>
        <w:tc>
          <w:tcPr>
            <w:tcW w:w="1872" w:type="dxa"/>
          </w:tcPr>
          <w:p>
            <w:pPr>
              <w:spacing w:after="0"/>
            </w:pPr>
            <w:r>
              <w:t xml:space="preserve">11 further HTML files on </w:t>
            </w:r>
            <w:r>
              <w:rPr>
                <w:rFonts w:ascii="Consolas" w:hAnsi="Consolas"/>
              </w:rPr>
              <w:t xml:space="preserve">main</w:t>
            </w:r>
          </w:p>
        </w:tc>
        <w:tc>
          <w:tcPr>
            <w:tcW w:w="1872" w:type="dxa"/>
          </w:tcPr>
          <w:p>
            <w:pPr>
              <w:spacing w:after="0"/>
            </w:pPr>
            <w:r>
              <w:t xml:space="preserve">live pages</w:t>
            </w:r>
          </w:p>
        </w:tc>
        <w:tc>
          <w:tcPr>
            <w:tcW w:w="1872" w:type="dxa"/>
          </w:tcPr>
          <w:p>
            <w:pPr>
              <w:spacing w:after="0"/>
            </w:pPr>
            <w:r>
              <w:t xml:space="preserve">Yes</w:t>
            </w:r>
          </w:p>
        </w:tc>
        <w:tc>
          <w:tcPr>
            <w:tcW w:w="1872" w:type="dxa"/>
          </w:tcPr>
          <w:p>
            <w:pPr>
              <w:spacing w:after="0"/>
            </w:pPr>
            <w:r>
              <w:t xml:space="preserve">Weak to medium</w:t>
            </w:r>
          </w:p>
        </w:tc>
        <w:tc>
          <w:tcPr>
            <w:tcW w:w="1872" w:type="dxa"/>
          </w:tcPr>
          <w:p>
            <w:pPr>
              <w:spacing w:after="0"/>
            </w:pPr>
            <w:r>
              <w:t xml:space="preserve">Mentions in supporting context</w:t>
            </w:r>
          </w:p>
        </w:tc>
      </w:tr>
    </w:tbl>
    <w:p>
      <w:pPr/>
      <w:r>
        <w:t/>
      </w:r>
    </w:p>
    <w:p>
      <w:pPr>
        <w:pBdr>
          <w:bottom w:val="single" w:sz="6" w:space="1" w:color="AAAAAA"/>
        </w:pBdr>
      </w:pPr>
    </w:p>
    <w:p>
      <w:pPr>
        <w:pStyle w:val="Heading2"/>
        <w:spacing w:after="140"/>
      </w:pPr>
      <w:r>
        <w:t xml:space="preserve">7. USPTO identification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Category</w:t>
            </w:r>
          </w:p>
        </w:tc>
        <w:tc>
          <w:tcPr>
            <w:tcW w:w="4680" w:type="dxa"/>
          </w:tcPr>
          <w:p>
            <w:pPr>
              <w:spacing w:after="0"/>
            </w:pPr>
            <w:r>
              <w:t xml:space="preserve">Status</w:t>
            </w:r>
          </w:p>
        </w:tc>
      </w:tr>
      <w:tr>
        <w:tc>
          <w:tcPr>
            <w:tcW w:w="4680" w:type="dxa"/>
          </w:tcPr>
          <w:p>
            <w:pPr>
              <w:spacing w:after="0"/>
            </w:pPr>
            <w:r>
              <w:rPr>
                <w:b/>
              </w:rPr>
              <w:t xml:space="preserve">User-supplied candidate language</w:t>
            </w:r>
          </w:p>
        </w:tc>
        <w:tc>
          <w:tcPr>
            <w:tcW w:w="4680" w:type="dxa"/>
          </w:tcPr>
          <w:p>
            <w:pPr>
              <w:spacing w:after="0"/>
            </w:pPr>
            <w:r>
              <w:t xml:space="preserve">Recorded verbatim below</w:t>
            </w:r>
          </w:p>
        </w:tc>
      </w:tr>
      <w:tr>
        <w:tc>
          <w:tcPr>
            <w:tcW w:w="4680" w:type="dxa"/>
          </w:tcPr>
          <w:p>
            <w:pPr>
              <w:spacing w:after="0"/>
            </w:pPr>
            <w:r>
              <w:rPr>
                <w:b/>
              </w:rPr>
              <w:t xml:space="preserve">USPTO-verified language</w:t>
            </w:r>
          </w:p>
        </w:tc>
        <w:tc>
          <w:tcPr>
            <w:tcW w:w="4680" w:type="dxa"/>
          </w:tcPr>
          <w:p>
            <w:pPr>
              <w:spacing w:after="0"/>
            </w:pPr>
            <w:r>
              <w:rPr>
                <w:b/>
              </w:rPr>
              <w:t xml:space="preserve">NONE.</w:t>
            </w:r>
            <w:r>
              <w:t xml:space="preserve"> No verified read of the current Acceptable Identification of Goods and Services Manual was performed in this pass</w:t>
            </w:r>
          </w:p>
        </w:tc>
      </w:tr>
      <w:tr>
        <w:tc>
          <w:tcPr>
            <w:tcW w:w="4680" w:type="dxa"/>
          </w:tcPr>
          <w:p>
            <w:pPr>
              <w:spacing w:after="0"/>
            </w:pPr>
            <w:r>
              <w:rPr>
                <w:b/>
              </w:rPr>
              <w:t xml:space="preserve">Proposed modifications</w:t>
            </w:r>
          </w:p>
        </w:tc>
        <w:tc>
          <w:tcPr>
            <w:tcW w:w="4680" w:type="dxa"/>
          </w:tcPr>
          <w:p>
            <w:pPr>
              <w:spacing w:after="0"/>
            </w:pPr>
            <w:r>
              <w:t xml:space="preserve">None offered. Proposing edits without checking the Manual would produce language that looks verified and is not</w:t>
            </w:r>
          </w:p>
        </w:tc>
      </w:tr>
      <w:tr>
        <w:tc>
          <w:tcPr>
            <w:tcW w:w="4680" w:type="dxa"/>
          </w:tcPr>
          <w:p>
            <w:pPr>
              <w:spacing w:after="0"/>
            </w:pPr>
            <w:r>
              <w:rPr>
                <w:b/>
              </w:rPr>
              <w:t xml:space="preserve">Requires attorney review</w:t>
            </w:r>
          </w:p>
        </w:tc>
        <w:tc>
          <w:tcPr>
            <w:tcW w:w="4680" w:type="dxa"/>
          </w:tcPr>
          <w:p>
            <w:pPr>
              <w:spacing w:after="0"/>
            </w:pPr>
            <w:r>
              <w:t xml:space="preserve">Class assignment, wording acceptability, specimen sufficiency, and both first-use dates</w:t>
            </w:r>
          </w:p>
        </w:tc>
      </w:tr>
    </w:tbl>
    <w:p>
      <w:pPr/>
      <w:r>
        <w:t/>
      </w:r>
    </w:p>
    <w:p>
      <w:pPr>
        <w:spacing w:after="140"/>
      </w:pPr>
      <w:r>
        <w:rPr>
          <w:b/>
        </w:rPr>
        <w:t xml:space="preserve">JRS Class 042 (candidate, unverified):</w:t>
      </w:r>
      <w:r>
        <w:t xml:space="preserve"> "Developing voluntary operational standards, technical protocols, and compliance frameworks for artificial intelligence governance, automated record-keeping systems, and algorithmic decision auditing; Providing online non-downloadable cloud-based software for auditing, evaluating, and tracking compliance with governance standards in automated decision systems; Platform as a service (PAAS) featuring computer software platforms for automated record verification, system log analysis, and decision justification testing in artificial intelligence software."</w:t>
      </w:r>
    </w:p>
    <w:p>
      <w:pPr>
        <w:spacing w:after="140"/>
      </w:pPr>
      <w:r>
        <w:rPr>
          <w:b/>
        </w:rPr>
        <w:t xml:space="preserve">JRS Class 035 (candidate, unverified):</w:t>
      </w:r>
      <w:r>
        <w:t xml:space="preserve"> "Business risk assessment services; business compliance advisory services in the field of artificial intelligence governance, automated decision support, and institutional record-keeping compliance."</w:t>
      </w:r>
    </w:p>
    <w:p>
      <w:pPr>
        <w:spacing w:after="140"/>
      </w:pPr>
      <w:r>
        <w:rPr>
          <w:b/>
        </w:rPr>
        <w:t xml:space="preserve">DRR Class 042 (candidate, unverified):</w:t>
      </w:r>
      <w:r>
        <w:t xml:space="preserve"> "Software as a service (SAAS) services featuring software for assessing, diagnostic testing, and auditing computational vulnerability, evidentiary loss, and record reconstruction failure in automated decision systems; Providing online non-downloadable software for evaluating decision reconstruction risk, data lineage drift, and system defensibility in artificial intelligence and automated workflows; Conducting technical risk assessments and diagnostic testing of automated system decision logs."</w:t>
      </w:r>
    </w:p>
    <w:p>
      <w:pPr>
        <w:spacing w:after="140"/>
      </w:pPr>
      <w:r>
        <w:rPr>
          <w:b/>
        </w:rPr>
        <w:t xml:space="preserve">One observation that affects both filings, stated as an issue rather than a conclusion:</w:t>
      </w:r>
      <w:r>
        <w:t xml:space="preserve"> the Class 042 language for both marks describes non-downloadable software and platform services. The repository serves static pages plus edge functions, and </w:t>
      </w:r>
      <w:r>
        <w:rPr>
          <w:rFonts w:ascii="Consolas" w:hAnsi="Consolas"/>
        </w:rPr>
        <w:t xml:space="preserve">org-pilot.html</w:t>
      </w:r>
      <w:r>
        <w:t xml:space="preserve"> is the only surface offering anything resembling an interactive service. Its usage is </w:t>
      </w:r>
      <w:r>
        <w:rPr>
          <w:b/>
        </w:rPr>
        <w:t xml:space="preserve">0 sessions all-time</w:t>
      </w:r>
      <w:r>
        <w:t xml:space="preserve">. Whether that supports a software-as-a-service identification is an attorney question, and it is the weakest point in both applications on current evidence.</w:t>
      </w:r>
    </w:p>
    <w:p>
      <w:pPr>
        <w:pBdr>
          <w:bottom w:val="single" w:sz="6" w:space="1" w:color="AAAAAA"/>
        </w:pBdr>
      </w:pPr>
    </w:p>
    <w:p>
      <w:pPr>
        <w:pStyle w:val="Heading2"/>
        <w:spacing w:after="140"/>
      </w:pPr>
      <w:r>
        <w:t xml:space="preserve">8. Validation performed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node --check</w:t>
            </w:r>
            <w:r>
              <w:t xml:space="preserve"> on every modified endpoint</w:t>
            </w:r>
          </w:p>
        </w:tc>
        <w:tc>
          <w:tcPr>
            <w:tcW w:w="4680" w:type="dxa"/>
          </w:tcPr>
          <w:p>
            <w:pPr>
              <w:spacing w:after="0"/>
            </w:pPr>
            <w:r>
              <w:t xml:space="preserve">Pass</w:t>
            </w:r>
          </w:p>
        </w:tc>
      </w:tr>
      <w:tr>
        <w:tc>
          <w:tcPr>
            <w:tcW w:w="4680" w:type="dxa"/>
          </w:tcPr>
          <w:p>
            <w:pPr>
              <w:spacing w:after="0"/>
            </w:pPr>
            <w:r>
              <w:t xml:space="preserve">Inline script parse on </w:t>
            </w:r>
            <w:r>
              <w:rPr>
                <w:rFonts w:ascii="Consolas" w:hAnsi="Consolas"/>
              </w:rPr>
              <w:t xml:space="preserve">pilot-status.html</w:t>
            </w:r>
          </w:p>
        </w:tc>
        <w:tc>
          <w:tcPr>
            <w:tcW w:w="4680" w:type="dxa"/>
          </w:tcPr>
          <w:p>
            <w:pPr>
              <w:spacing w:after="0"/>
            </w:pPr>
            <w:r>
              <w:t xml:space="preserve">2 blocks, 0 errors</w:t>
            </w:r>
          </w:p>
        </w:tc>
      </w:tr>
      <w:tr>
        <w:tc>
          <w:tcPr>
            <w:tcW w:w="4680" w:type="dxa"/>
          </w:tcPr>
          <w:p>
            <w:pPr>
              <w:spacing w:after="0"/>
            </w:pPr>
            <w:r>
              <w:t xml:space="preserve">Endpoint returns the new fields</w:t>
            </w:r>
          </w:p>
        </w:tc>
        <w:tc>
          <w:tcPr>
            <w:tcW w:w="4680" w:type="dxa"/>
          </w:tcPr>
          <w:p>
            <w:pPr>
              <w:spacing w:after="0"/>
            </w:pPr>
            <w:r>
              <w:t xml:space="preserve">Pass: </w:t>
            </w:r>
            <w:r>
              <w:rPr>
                <w:rFonts w:ascii="Consolas" w:hAnsi="Consolas"/>
              </w:rPr>
              <w:t xml:space="preserve">last_endorsement_at</w:t>
            </w:r>
            <w:r>
              <w:t xml:space="preserve"> 2026-08-04, </w:t>
            </w:r>
            <w:r>
              <w:rPr>
                <w:rFonts w:ascii="Consolas" w:hAnsi="Consolas"/>
              </w:rPr>
              <w:t xml:space="preserve">days_since_last_endorsement</w:t>
            </w:r>
            <w:r>
              <w:t xml:space="preserve"> 7, </w:t>
            </w:r>
            <w:r>
              <w:rPr>
                <w:rFonts w:ascii="Consolas" w:hAnsi="Consolas"/>
              </w:rPr>
              <w:t xml:space="preserve">outage.clicks_not_recorded</w:t>
            </w:r>
            <w:r>
              <w:t xml:space="preserve"> 18, </w:t>
            </w:r>
            <w:r>
              <w:rPr>
                <w:rFonts w:ascii="Consolas" w:hAnsi="Consolas"/>
              </w:rPr>
              <w:t xml:space="preserve">distinct_devices</w:t>
            </w:r>
            <w:r>
              <w:t xml:space="preserve"> 1</w:t>
            </w:r>
          </w:p>
        </w:tc>
      </w:tr>
      <w:tr>
        <w:tc>
          <w:tcPr>
            <w:tcW w:w="4680" w:type="dxa"/>
          </w:tcPr>
          <w:p>
            <w:pPr>
              <w:spacing w:after="0"/>
            </w:pPr>
            <w:r>
              <w:t xml:space="preserve">Endorsement write, end to end</w:t>
            </w:r>
          </w:p>
        </w:tc>
        <w:tc>
          <w:tcPr>
            <w:tcW w:w="4680" w:type="dxa"/>
          </w:tcPr>
          <w:p>
            <w:pPr>
              <w:spacing w:after="0"/>
            </w:pPr>
            <w:r>
              <w:t xml:space="preserve">Pass: real click wrote a row, total 40 to 41, check row purged, back to 40</w:t>
            </w:r>
          </w:p>
        </w:tc>
      </w:tr>
      <w:tr>
        <w:tc>
          <w:tcPr>
            <w:tcW w:w="4680" w:type="dxa"/>
          </w:tcPr>
          <w:p>
            <w:pPr>
              <w:spacing w:after="0"/>
            </w:pPr>
            <w:r>
              <w:t xml:space="preserve">Arrival counters, end to end</w:t>
            </w:r>
          </w:p>
        </w:tc>
        <w:tc>
          <w:tcPr>
            <w:tcW w:w="4680" w:type="dxa"/>
          </w:tcPr>
          <w:p>
            <w:pPr>
              <w:spacing w:after="0"/>
            </w:pPr>
            <w:r>
              <w:t xml:space="preserve">Pass: both moved to 1, purged, back to 0</w:t>
            </w:r>
          </w:p>
        </w:tc>
      </w:tr>
      <w:tr>
        <w:tc>
          <w:tcPr>
            <w:tcW w:w="4680" w:type="dxa"/>
          </w:tcPr>
          <w:p>
            <w:pPr>
              <w:spacing w:after="0"/>
            </w:pPr>
            <w:r>
              <w:t xml:space="preserve">Today block against raw database</w:t>
            </w:r>
          </w:p>
        </w:tc>
        <w:tc>
          <w:tcPr>
            <w:tcW w:w="4680" w:type="dxa"/>
          </w:tcPr>
          <w:p>
            <w:pPr>
              <w:spacing w:after="0"/>
            </w:pPr>
            <w:r>
              <w:t xml:space="preserve">Pass: 18 / 0 / 0 / 0 / 0 / 0 / 2 / 48 matches a direct query</w:t>
            </w:r>
          </w:p>
        </w:tc>
      </w:tr>
      <w:tr>
        <w:tc>
          <w:tcPr>
            <w:tcW w:w="4680" w:type="dxa"/>
          </w:tcPr>
          <w:p>
            <w:pPr>
              <w:spacing w:after="0"/>
            </w:pPr>
            <w:r>
              <w:t xml:space="preserve">Structural assertion, all HTML</w:t>
            </w:r>
          </w:p>
        </w:tc>
        <w:tc>
          <w:tcPr>
            <w:tcW w:w="4680" w:type="dxa"/>
          </w:tcPr>
          <w:p>
            <w:pPr>
              <w:spacing w:after="0"/>
            </w:pPr>
            <w:r>
              <w:t xml:space="preserve">Pass: 66 files carry doctype, viewport, head close, body close, html close</w:t>
            </w:r>
          </w:p>
        </w:tc>
      </w:tr>
      <w:tr>
        <w:tc>
          <w:tcPr>
            <w:tcW w:w="4680" w:type="dxa"/>
          </w:tcPr>
          <w:p>
            <w:pPr>
              <w:spacing w:after="0"/>
            </w:pPr>
            <w:r>
              <w:rPr>
                <w:rFonts w:ascii="Consolas" w:hAnsi="Consolas"/>
              </w:rPr>
              <w:t xml:space="preserve">research/</w:t>
            </w:r>
            <w:r>
              <w:t xml:space="preserve"> on production branch</w:t>
            </w:r>
          </w:p>
        </w:tc>
        <w:tc>
          <w:tcPr>
            <w:tcW w:w="4680" w:type="dxa"/>
          </w:tcPr>
          <w:p>
            <w:pPr>
              <w:spacing w:after="0"/>
            </w:pPr>
            <w:r>
              <w:t xml:space="preserve">0 files. Tracker, completion checker and blind answer key all return 404</w:t>
            </w:r>
          </w:p>
        </w:tc>
      </w:tr>
      <w:tr>
        <w:tc>
          <w:tcPr>
            <w:tcW w:w="4680" w:type="dxa"/>
          </w:tcPr>
          <w:p>
            <w:pPr>
              <w:spacing w:after="0"/>
            </w:pPr>
            <w:r>
              <w:rPr>
                <w:rFonts w:ascii="Consolas" w:hAnsi="Consolas"/>
              </w:rPr>
              <w:t xml:space="preserve">git status</w:t>
            </w:r>
            <w:r>
              <w:t xml:space="preserve"> after work</w:t>
            </w:r>
          </w:p>
        </w:tc>
        <w:tc>
          <w:tcPr>
            <w:tcW w:w="4680" w:type="dxa"/>
          </w:tcPr>
          <w:p>
            <w:pPr>
              <w:spacing w:after="0"/>
            </w:pPr>
            <w:r>
              <w:t xml:space="preserve">Clean, branch level with origin</w:t>
            </w:r>
          </w:p>
        </w:tc>
      </w:tr>
    </w:tbl>
    <w:p>
      <w:pPr/>
      <w:r>
        <w:t/>
      </w:r>
    </w:p>
    <w:p>
      <w:pPr>
        <w:pBdr>
          <w:bottom w:val="single" w:sz="6" w:space="1" w:color="AAAAAA"/>
        </w:pBdr>
      </w:pPr>
    </w:p>
    <w:p>
      <w:pPr>
        <w:pStyle w:val="Heading2"/>
        <w:spacing w:after="140"/>
      </w:pPr>
      <w:r>
        <w:t xml:space="preserve">9. Unresolved evidence gaps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PST Pilot Study, 20 cases, Jan-Mar 2026</w:t>
            </w:r>
          </w:p>
        </w:tc>
        <w:tc>
          <w:tcPr>
            <w:tcW w:w="4680" w:type="dxa"/>
          </w:tcPr>
          <w:p>
            <w:pPr>
              <w:spacing w:after="0"/>
            </w:pPr>
            <w:r>
              <w:rPr>
                <w:b/>
              </w:rPr>
              <w:t xml:space="preserve">NOT ESTABLISHED BY REPOSITORY EVIDENCE.</w:t>
            </w:r>
            <w:r>
              <w:t xml:space="preserve"> No occurrence of any related term</w:t>
            </w:r>
          </w:p>
        </w:tc>
      </w:tr>
      <w:tr>
        <w:tc>
          <w:tcPr>
            <w:tcW w:w="4680" w:type="dxa"/>
          </w:tcPr>
          <w:p>
            <w:pPr>
              <w:spacing w:after="0"/>
            </w:pPr>
            <w:r>
              <w:t xml:space="preserve">84.2% inter-rater agreement</w:t>
            </w:r>
          </w:p>
        </w:tc>
        <w:tc>
          <w:tcPr>
            <w:tcW w:w="4680" w:type="dxa"/>
          </w:tcPr>
          <w:p>
            <w:pPr>
              <w:spacing w:after="0"/>
            </w:pPr>
            <w:r>
              <w:rPr>
                <w:b/>
              </w:rPr>
              <w:t xml:space="preserve">NOT ESTABLISHED.</w:t>
            </w:r>
            <w:r>
              <w:t xml:space="preserve"> Measured value is Gwet's AC1 0.739</w:t>
            </w:r>
          </w:p>
        </w:tc>
      </w:tr>
      <w:tr>
        <w:tc>
          <w:tcPr>
            <w:tcW w:w="4680" w:type="dxa"/>
          </w:tcPr>
          <w:p>
            <w:pPr>
              <w:spacing w:after="0"/>
            </w:pPr>
            <w:r>
              <w:t xml:space="preserve">&lt;15% cross-vendor drift as a measured result</w:t>
            </w:r>
          </w:p>
        </w:tc>
        <w:tc>
          <w:tcPr>
            <w:tcW w:w="4680" w:type="dxa"/>
          </w:tcPr>
          <w:p>
            <w:pPr>
              <w:spacing w:after="0"/>
            </w:pPr>
            <w:r>
              <w:rPr>
                <w:b/>
              </w:rPr>
              <w:t xml:space="preserve">NOT ESTABLISHED</w:t>
            </w:r>
            <w:r>
              <w:t xml:space="preserve"> as measured. Reproducibility is 86.7%</w:t>
            </w:r>
          </w:p>
        </w:tc>
      </w:tr>
      <w:tr>
        <w:tc>
          <w:tcPr>
            <w:tcW w:w="4680" w:type="dxa"/>
          </w:tcPr>
          <w:p>
            <w:pPr>
              <w:spacing w:after="0"/>
            </w:pPr>
            <w:r>
              <w:t xml:space="preserve">First use anywhere, both marks</w:t>
            </w:r>
          </w:p>
        </w:tc>
        <w:tc>
          <w:tcPr>
            <w:tcW w:w="4680" w:type="dxa"/>
          </w:tcPr>
          <w:p>
            <w:pPr>
              <w:spacing w:after="0"/>
            </w:pPr>
            <w:r>
              <w:rPr>
                <w:b/>
              </w:rPr>
              <w:t xml:space="preserve">NOT ESTABLISHED BY REPOSITORY EVIDENCE</w:t>
            </w:r>
          </w:p>
        </w:tc>
      </w:tr>
      <w:tr>
        <w:tc>
          <w:tcPr>
            <w:tcW w:w="4680" w:type="dxa"/>
          </w:tcPr>
          <w:p>
            <w:pPr>
              <w:spacing w:after="0"/>
            </w:pPr>
            <w:r>
              <w:t xml:space="preserve">First use in commerce, both marks</w:t>
            </w:r>
          </w:p>
        </w:tc>
        <w:tc>
          <w:tcPr>
            <w:tcW w:w="4680" w:type="dxa"/>
          </w:tcPr>
          <w:p>
            <w:pPr>
              <w:spacing w:after="0"/>
            </w:pPr>
            <w:r>
              <w:rPr>
                <w:b/>
              </w:rPr>
              <w:t xml:space="preserve">NOT ESTABLISHED BY REPOSITORY EVIDENCE</w:t>
            </w:r>
          </w:p>
        </w:tc>
      </w:tr>
      <w:tr>
        <w:tc>
          <w:tcPr>
            <w:tcW w:w="4680" w:type="dxa"/>
          </w:tcPr>
          <w:p>
            <w:pPr>
              <w:spacing w:after="0"/>
            </w:pPr>
            <w:r>
              <w:t xml:space="preserve">USPTO acceptability of all three identifications</w:t>
            </w:r>
          </w:p>
        </w:tc>
        <w:tc>
          <w:tcPr>
            <w:tcW w:w="4680" w:type="dxa"/>
          </w:tcPr>
          <w:p>
            <w:pPr>
              <w:spacing w:after="0"/>
            </w:pPr>
            <w:r>
              <w:rPr>
                <w:b/>
              </w:rPr>
              <w:t xml:space="preserve">NOT VERIFIED</w:t>
            </w:r>
          </w:p>
        </w:tc>
      </w:tr>
      <w:tr>
        <w:tc>
          <w:tcPr>
            <w:tcW w:w="4680" w:type="dxa"/>
          </w:tcPr>
          <w:p>
            <w:pPr>
              <w:spacing w:after="0"/>
            </w:pPr>
            <w:r>
              <w:t xml:space="preserve">Specimen acceptability</w:t>
            </w:r>
          </w:p>
        </w:tc>
        <w:tc>
          <w:tcPr>
            <w:tcW w:w="4680" w:type="dxa"/>
          </w:tcPr>
          <w:p>
            <w:pPr>
              <w:spacing w:after="0"/>
            </w:pPr>
            <w:r>
              <w:rPr>
                <w:b/>
              </w:rPr>
              <w:t xml:space="preserve">NOT ESTABLISHED.</w:t>
            </w:r>
            <w:r>
              <w:t xml:space="preserve"> Candidates inventoried, none assessed as acceptable</w:t>
            </w:r>
          </w:p>
        </w:tc>
      </w:tr>
      <w:tr>
        <w:tc>
          <w:tcPr>
            <w:tcW w:w="4680" w:type="dxa"/>
          </w:tcPr>
          <w:p>
            <w:pPr>
              <w:spacing w:after="0"/>
            </w:pPr>
            <w:r>
              <w:t xml:space="preserve">Trademark ownership and priority</w:t>
            </w:r>
          </w:p>
        </w:tc>
        <w:tc>
          <w:tcPr>
            <w:tcW w:w="4680" w:type="dxa"/>
          </w:tcPr>
          <w:p>
            <w:pPr>
              <w:spacing w:after="0"/>
            </w:pPr>
            <w:r>
              <w:rPr>
                <w:b/>
              </w:rPr>
              <w:t xml:space="preserve">NOT ESTABLISHED.</w:t>
            </w:r>
            <w:r>
              <w:t xml:space="preserve"> Outside repository scope</w:t>
            </w:r>
          </w:p>
        </w:tc>
      </w:tr>
      <w:tr>
        <w:tc>
          <w:tcPr>
            <w:tcW w:w="4680" w:type="dxa"/>
          </w:tcPr>
          <w:p>
            <w:pPr>
              <w:spacing w:after="0"/>
            </w:pPr>
            <w:r>
              <w:t xml:space="preserve">Countries figure (16)</w:t>
            </w:r>
          </w:p>
        </w:tc>
        <w:tc>
          <w:tcPr>
            <w:tcW w:w="4680" w:type="dxa"/>
          </w:tcPr>
          <w:p>
            <w:pPr>
              <w:spacing w:after="0"/>
            </w:pPr>
            <w:r>
              <w:t xml:space="preserve">Live-computable only in part. No country is stored in any anon-readable table; the value is transcribed and published with </w:t>
            </w:r>
            <w:r>
              <w:rPr>
                <w:rFonts w:ascii="Consolas" w:hAnsi="Consolas"/>
              </w:rPr>
              <w:t xml:space="preserve">geo_source: "transcribed"</w:t>
            </w:r>
            <w:r>
              <w:t xml:space="preserve"> and a rederivation path</w:t>
            </w:r>
          </w:p>
        </w:tc>
      </w:tr>
    </w:tbl>
    <w:p>
      <w:pPr/>
      <w:r>
        <w:t/>
      </w:r>
    </w:p>
    <w:p>
      <w:pPr>
        <w:pBdr>
          <w:bottom w:val="single" w:sz="6" w:space="1" w:color="AAAAAA"/>
        </w:pBdr>
      </w:pPr>
    </w:p>
    <w:p>
      <w:pPr>
        <w:pStyle w:val="Heading2"/>
        <w:spacing w:after="140"/>
      </w:pPr>
      <w:r>
        <w:t xml:space="preserve">10. Run log</w:t>
      </w:r>
    </w:p>
    <w:p>
      <w:pPr>
        <w:pStyle w:val="Heading3"/>
        <w:spacing w:after="140"/>
      </w:pPr>
      <w:r>
        <w:t xml:space="preserve">2026-08-11T20:50:49Z</w:t>
      </w:r>
    </w:p>
    <w:p>
      <w:pPr>
        <w:spacing w:after="140"/>
      </w:pPr>
      <w:r>
        <w:rPr>
          <w:b/>
        </w:rPr>
        <w:t xml:space="preserve">Counter audit: PATCHED, then PASSED.</w:t>
      </w:r>
      <w:r>
        <w:t xml:space="preserve"> All 20 panel metrics reconciled against direct SQL. 0 mismatches.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Defect found this run</w:t>
            </w:r>
          </w:p>
        </w:tc>
        <w:tc>
          <w:tcPr>
            <w:tcW w:w="4680" w:type="dxa"/>
          </w:tcPr>
          <w:p>
            <w:pPr>
              <w:spacing w:after="0"/>
            </w:pPr>
            <w:r>
              <w:t xml:space="preserve">Resolution</w:t>
            </w:r>
          </w:p>
        </w:tc>
      </w:tr>
      <w:tr>
        <w:tc>
          <w:tcPr>
            <w:tcW w:w="4680" w:type="dxa"/>
          </w:tcPr>
          <w:p>
            <w:pPr>
              <w:spacing w:after="0"/>
            </w:pPr>
            <w:r>
              <w:t xml:space="preserve">Endorsement chart ended on the last event date, so after a quiet week it stopped at 2026-08-04 and today had no column at all</w:t>
            </w:r>
          </w:p>
        </w:tc>
        <w:tc>
          <w:tcPr>
            <w:tcW w:w="4680" w:type="dxa"/>
          </w:tcPr>
          <w:p>
            <w:pPr>
              <w:spacing w:after="0"/>
            </w:pPr>
            <w:r>
              <w:t xml:space="preserve">Series now always runs to the current UTC day. Today's empty column is drawn in gold so a day with nothing yet is distinguishable from a past day that had nothing</w:t>
            </w:r>
          </w:p>
        </w:tc>
      </w:tr>
      <w:tr>
        <w:tc>
          <w:tcPr>
            <w:tcW w:w="4680" w:type="dxa"/>
          </w:tcPr>
          <w:p>
            <w:pPr>
              <w:spacing w:after="0"/>
            </w:pPr>
            <w:r>
              <w:t xml:space="preserve">A reader arriving by copied, forwarded or bookmarked URL was never recorded, while the screen told them their support was recorded</w:t>
            </w:r>
          </w:p>
        </w:tc>
        <w:tc>
          <w:tcPr>
            <w:tcW w:w="4680" w:type="dxa"/>
          </w:tcPr>
          <w:p>
            <w:pPr>
              <w:spacing w:after="0"/>
            </w:pPr>
            <w:r>
              <w:rPr>
                <w:rFonts w:ascii="Consolas" w:hAnsi="Consolas"/>
              </w:rPr>
              <w:t xml:space="preserve">/api/support</w:t>
            </w:r>
            <w:r>
              <w:t xml:space="preserve"> marks its redirect </w:t>
            </w:r>
            <w:r>
              <w:rPr>
                <w:rFonts w:ascii="Consolas" w:hAnsi="Consolas"/>
              </w:rPr>
              <w:t xml:space="preserve">r=1</w:t>
            </w:r>
            <w:r>
              <w:t xml:space="preserve"> when it wrote; the campaign screen fires a fallback endorsement when that marker is absent, deduped per browser per campaign</w:t>
            </w:r>
          </w:p>
        </w:tc>
      </w:tr>
      <w:tr>
        <w:tc>
          <w:tcPr>
            <w:tcW w:w="4680" w:type="dxa"/>
          </w:tcPr>
          <w:p>
            <w:pPr>
              <w:spacing w:after="0"/>
            </w:pPr>
            <w:r>
              <w:rPr>
                <w:rFonts w:ascii="Consolas" w:hAnsi="Consolas"/>
              </w:rPr>
              <w:t xml:space="preserve">sessionStorage</w:t>
            </w:r>
            <w:r>
              <w:t xml:space="preserve"> dedupe was per tab, so a forwarded link opened twice counted twice</w:t>
            </w:r>
          </w:p>
        </w:tc>
        <w:tc>
          <w:tcPr>
            <w:tcW w:w="4680" w:type="dxa"/>
          </w:tcPr>
          <w:p>
            <w:pPr>
              <w:spacing w:after="0"/>
            </w:pPr>
            <w:r>
              <w:t xml:space="preserve">Switched to </w:t>
            </w:r>
            <w:r>
              <w:rPr>
                <w:rFonts w:ascii="Consolas" w:hAnsi="Consolas"/>
              </w:rPr>
              <w:t xml:space="preserve">localStorage</w:t>
            </w:r>
            <w:r>
              <w:t xml:space="preserve">; key added to the sanctioned list in </w:t>
            </w:r>
            <w:r>
              <w:rPr>
                <w:rFonts w:ascii="Consolas" w:hAnsi="Consolas"/>
              </w:rPr>
              <w:t xml:space="preserve">CLAUDE.md</w:t>
            </w:r>
          </w:p>
        </w:tc>
      </w:tr>
      <w:tr>
        <w:tc>
          <w:tcPr>
            <w:tcW w:w="4680" w:type="dxa"/>
          </w:tcPr>
          <w:p>
            <w:pPr>
              <w:spacing w:after="0"/>
            </w:pPr>
            <w:r>
              <w:t xml:space="preserve">One stale </w:t>
            </w:r>
            <w:r>
              <w:rPr>
                <w:rFonts w:ascii="Consolas" w:hAnsi="Consolas"/>
              </w:rPr>
              <w:t xml:space="preserve">deploytest</w:t>
            </w:r>
            <w:r>
              <w:t xml:space="preserve"> guide-download row sat in the table, filtered on read but never removed</w:t>
            </w:r>
          </w:p>
        </w:tc>
        <w:tc>
          <w:tcPr>
            <w:tcW w:w="4680" w:type="dxa"/>
          </w:tcPr>
          <w:p>
            <w:pPr>
              <w:spacing w:after="0"/>
            </w:pPr>
            <w:r>
              <w:t xml:space="preserve">Deleted by direct SQL</w:t>
            </w:r>
          </w:p>
        </w:tc>
      </w:tr>
      <w:tr>
        <w:tc>
          <w:tcPr>
            <w:tcW w:w="4680" w:type="dxa"/>
          </w:tcPr>
          <w:p>
            <w:pPr>
              <w:spacing w:after="0"/>
            </w:pPr>
            <w:r>
              <w:t xml:space="preserve">Non-browser agents could record an endorsement</w:t>
            </w:r>
          </w:p>
        </w:tc>
        <w:tc>
          <w:tcPr>
            <w:tcW w:w="4680" w:type="dxa"/>
          </w:tcPr>
          <w:p>
            <w:pPr>
              <w:spacing w:after="0"/>
            </w:pPr>
            <w:r>
              <w:rPr>
                <w:rFonts w:ascii="Consolas" w:hAnsi="Consolas"/>
              </w:rPr>
              <w:t xml:space="preserve">/api/support</w:t>
            </w:r>
            <w:r>
              <w:t xml:space="preserve"> and the fallback both refuse an absent or non-browser user agent</w:t>
            </w:r>
          </w:p>
        </w:tc>
      </w:tr>
    </w:tbl>
    <w:p>
      <w:pPr/>
      <w:r>
        <w:t/>
      </w:r>
    </w:p>
    <w:p>
      <w:pPr>
        <w:spacing w:after="140"/>
      </w:pPr>
      <w:r>
        <w:rPr>
          <w:b/>
        </w:rPr>
        <w:t xml:space="preserve">Reconciliation, endpoint against direct SQL, all 20 match:</w:t>
      </w:r>
      <w:r>
        <w:t xml:space="preserve"> endorsements 40 / today 0 / chart reaches today / campaign arrivals today 23 / gate views 124 / guide downloads 65 / today 2 / evaluation opens 0 / submissions 0 / detection completers 16 / comparison completers 19 / records reviewed today 48 / reliability raters 24 / reliability records 10 / panel reviewers 56 / completers 35 / registered 47 / training enrolments 7 / completions 7 / contributor outstanding 20.</w:t>
      </w:r>
    </w:p>
    <w:p>
      <w:pPr>
        <w:spacing w:after="140"/>
      </w:pPr>
      <w:r>
        <w:rPr>
          <w:b/>
        </w:rPr>
        <w:t xml:space="preserve">Trademark dossiers:</w:t>
      </w:r>
      <w:r>
        <w:t xml:space="preserve"> JRS PENDING INPUTS, DRR PENDING INPUTS. Both blocked on the same two fields, first use anywhere and first use in commerce, and on USPTO identification verification. See sections 5, 6 and 7.</w:t>
      </w:r>
    </w:p>
    <w:p>
      <w:pPr>
        <w:spacing w:after="140"/>
      </w:pPr>
      <w:r>
        <w:rPr>
          <w:b/>
        </w:rPr>
        <w:t xml:space="preserve">Files modified this run:</w:t>
      </w:r>
      <w:r>
        <w:t xml:space="preserve"> </w:t>
      </w:r>
      <w:r>
        <w:rPr>
          <w:rFonts w:ascii="Consolas" w:hAnsi="Consolas"/>
        </w:rPr>
        <w:t xml:space="preserve">api/support.js</w:t>
      </w:r>
      <w:r>
        <w:t xml:space="preserve">, </w:t>
      </w:r>
      <w:r>
        <w:rPr>
          <w:rFonts w:ascii="Consolas" w:hAnsi="Consolas"/>
        </w:rPr>
        <w:t xml:space="preserve">api/access.js</w:t>
      </w:r>
      <w:r>
        <w:t xml:space="preserve">, </w:t>
      </w:r>
      <w:r>
        <w:rPr>
          <w:rFonts w:ascii="Consolas" w:hAnsi="Consolas"/>
        </w:rPr>
        <w:t xml:space="preserve">api/support-stats.js</w:t>
      </w:r>
      <w:r>
        <w:t xml:space="preserve">, </w:t>
      </w:r>
      <w:r>
        <w:rPr>
          <w:rFonts w:ascii="Consolas" w:hAnsi="Consolas"/>
        </w:rPr>
        <w:t xml:space="preserve">api/contributor.js</w:t>
      </w:r>
      <w:r>
        <w:t xml:space="preserve">, </w:t>
      </w:r>
      <w:r>
        <w:rPr>
          <w:rFonts w:ascii="Consolas" w:hAnsi="Consolas"/>
        </w:rPr>
        <w:t xml:space="preserve">access.html</w:t>
      </w:r>
      <w:r>
        <w:t xml:space="preserve">, </w:t>
      </w:r>
      <w:r>
        <w:rPr>
          <w:rFonts w:ascii="Consolas" w:hAnsi="Consolas"/>
        </w:rPr>
        <w:t xml:space="preserve">pilot-status.html</w:t>
      </w:r>
      <w:r>
        <w:t xml:space="preserve">, </w:t>
      </w:r>
      <w:r>
        <w:rPr>
          <w:rFonts w:ascii="Consolas" w:hAnsi="Consolas"/>
        </w:rPr>
        <w:t xml:space="preserve">CLAUDE.md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spacing w:after="140"/>
      </w:pPr>
      <w:r>
        <w:rPr>
          <w:b/>
        </w:rPr>
        <w:t xml:space="preserve">Ground-truth block supplied in the directive, reconciled not injected.</w:t>
      </w:r>
      <w:r>
        <w:t xml:space="preserve"> PST Pilot Study 20 cases: </w:t>
      </w:r>
      <w:r>
        <w:rPr>
          <w:rFonts w:ascii="Consolas" w:hAnsi="Consolas"/>
        </w:rPr>
        <w:t xml:space="preserve">[REQUIRES USER INPUT]</w:t>
      </w:r>
      <w:r>
        <w:t xml:space="preserve">, no occurrence of </w:t>
      </w:r>
      <w:r>
        <w:rPr>
          <w:rFonts w:ascii="Consolas" w:hAnsi="Consolas"/>
        </w:rPr>
        <w:t xml:space="preserve">PST</w:t>
      </w:r>
      <w:r>
        <w:t xml:space="preserve">, </w:t>
      </w:r>
      <w:r>
        <w:rPr>
          <w:rFonts w:ascii="Consolas" w:hAnsi="Consolas"/>
        </w:rPr>
        <w:t xml:space="preserve">20 Cases</w:t>
      </w:r>
      <w:r>
        <w:t xml:space="preserve"> or </w:t>
      </w:r>
      <w:r>
        <w:rPr>
          <w:rFonts w:ascii="Consolas" w:hAnsi="Consolas"/>
        </w:rPr>
        <w:t xml:space="preserve">Jan-Mar</w:t>
      </w:r>
      <w:r>
        <w:t xml:space="preserve"> anywhere in the repository or database. 84.2% inter-rater: measured value is Gwet's AC1 </w:t>
      </w:r>
      <w:r>
        <w:rPr>
          <w:b/>
        </w:rPr>
        <w:t xml:space="preserve">0.739</w:t>
      </w:r>
      <w:r>
        <w:t xml:space="preserve">, 95% CI [0.402, 1.000], n=10 records, 36 labels, computed by </w:t>
      </w:r>
      <w:r>
        <w:rPr>
          <w:rFonts w:ascii="Consolas" w:hAnsi="Consolas"/>
        </w:rPr>
        <w:t xml:space="preserve">research/compute_ac1_ci.py</w:t>
      </w:r>
      <w:r>
        <w:t xml:space="preserve">. Cross-vendor drift &lt;15%: no drift calculation exists; reproducibility is 86.7%, so &lt;15% is recorded as a target and not as a measurement. 9-question survey: </w:t>
      </w:r>
      <w:r>
        <w:rPr>
          <w:b/>
        </w:rPr>
        <w:t xml:space="preserve">confirmed</w:t>
      </w:r>
      <w:r>
        <w:t xml:space="preserve">, matches </w:t>
      </w:r>
      <w:r>
        <w:rPr>
          <w:rFonts w:ascii="Consolas" w:hAnsi="Consolas"/>
        </w:rPr>
        <w:t xml:space="preserve">api/reviewer-eval.js</w:t>
      </w:r>
      <w:r>
        <w:t xml:space="preserve">. Active benchmark cohort 1 primary: </w:t>
      </w:r>
      <w:r>
        <w:rPr>
          <w:rFonts w:ascii="Consolas" w:hAnsi="Consolas"/>
        </w:rPr>
        <w:t xml:space="preserve">bench-review.html</w:t>
      </w:r>
      <w:r>
        <w:t xml:space="preserve"> draws 24 raters over 10 records from </w:t>
      </w:r>
      <w:r>
        <w:rPr>
          <w:rFonts w:ascii="Consolas" w:hAnsi="Consolas"/>
        </w:rPr>
        <w:t xml:space="preserve">bench_labels</w:t>
      </w:r>
      <w:r>
        <w:t xml:space="preserve">; whether that is the "1 Primary Cohort" is </w:t>
      </w:r>
      <w:r>
        <w:rPr>
          <w:rFonts w:ascii="Consolas" w:hAnsi="Consolas"/>
        </w:rPr>
        <w:t xml:space="preserve">[REQUIRES USER INPUT]</w:t>
      </w:r>
      <w:r>
        <w:t xml:space="preserv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