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
<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Heading1"/>
        <w:spacing w:after="140"/>
      </w:pPr>
      <w:r>
        <w:t xml:space="preserve">Detection_Article_v2_ExpertFocus: updated figures at data close</w:t>
      </w:r>
    </w:p>
    <w:p>
      <w:pPr>
        <w:spacing w:after="140"/>
      </w:pPr>
      <w:r>
        <w:rPr>
          <w:b/>
        </w:rPr>
        <w:t xml:space="preserve">Locked 2026-08-15.</w:t>
      </w:r>
      <w:r>
        <w:t xml:space="preserve"> Every number below was recomputed from the study database today. The draft's own status line asks for exactly this: </w:t>
      </w:r>
      <w:r>
        <w:rPr>
          <w:i/>
        </w:rPr>
        <w:t xml:space="preserve">"On the close date every figure is recomputed from the study database in one pass and this line is replaced with the locked figures and the lock date."</w:t>
      </w:r>
    </w:p>
    <w:p>
      <w:pPr>
        <w:pBdr>
          <w:bottom w:val="single" w:sz="6" w:space="1" w:color="AAAAAA"/>
        </w:pBdr>
      </w:pPr>
    </w:p>
    <w:p>
      <w:pPr>
        <w:pStyle w:val="Heading2"/>
        <w:spacing w:after="140"/>
      </w:pPr>
      <w:r>
        <w:t xml:space="preserve">1. The draft's central caveat resolved, and it resolved in your favour</w:t>
      </w:r>
    </w:p>
    <w:p>
      <w:pPr>
        <w:spacing w:after="140"/>
      </w:pPr>
      <w:r>
        <w:t xml:space="preserve">The status line says:</w:t>
      </w:r>
    </w:p>
    <w:p>
      <w:pPr>
        <w:spacing w:after="140"/>
      </w:pPr>
      <w:r>
        <w:t xml:space="preserve">&gt; </w:t>
      </w:r>
      <w:r>
        <w:rPr>
          <w:i/>
        </w:rPr>
        <w:t xml:space="preserve">"Eleven invited panel reviewers have not yet started, and any one of them finishing before the close date changes the completer count, the point estimate, the interval, the sensitivity and specificity figures, and the country count."</w:t>
      </w:r>
    </w:p>
    <w:p>
      <w:pPr>
        <w:spacing w:after="140"/>
      </w:pPr>
      <w:r>
        <w:rPr>
          <w:b/>
        </w:rPr>
        <w:t xml:space="preserve">None of them started.</w:t>
      </w:r>
      <w:r>
        <w:t xml:space="preserve"> </w:t>
      </w:r>
      <w:r>
        <w:rPr>
          <w:rFonts w:ascii="Consolas" w:hAnsi="Consolas"/>
        </w:rPr>
        <w:t xml:space="preserve">pilot_progress</w:t>
      </w:r>
      <w:r>
        <w:t xml:space="preserve"> at close: 27 registered rows, 16 with reads, </w:t>
      </w:r>
      <w:r>
        <w:rPr>
          <w:b/>
        </w:rPr>
        <w:t xml:space="preserve">11 with zero reads</w:t>
      </w:r>
      <w:r>
        <w:t xml:space="preserve">. Still exactly eleven, still zero.</w:t>
      </w:r>
    </w:p>
    <w:p>
      <w:pPr>
        <w:spacing w:after="140"/>
      </w:pPr>
      <w:r>
        <w:rPr>
          <w:b/>
        </w:rPr>
        <w:t xml:space="preserve">So the completer count, the country count and the continent count are unchanged from the draft.</w:t>
      </w:r>
      <w:r>
        <w:t xml:space="preserve"> The primary result does not move.</w:t>
      </w:r>
    </w:p>
    <w:p>
      <w:pPr>
        <w:pBdr>
          <w:bottom w:val="single" w:sz="6" w:space="1" w:color="AAAAAA"/>
        </w:pBdr>
      </w:pPr>
    </w:p>
    <w:p>
      <w:pPr>
        <w:pStyle w:val="Heading2"/>
        <w:spacing w:after="140"/>
      </w:pPr>
      <w:r>
        <w:t xml:space="preserve">2. Figure-by-figure reconciliation</w:t>
      </w:r>
    </w:p>
    <w:tbl>
      <w:tblPr>
        <w:tblStyle w:val="TableGrid"/>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120"/>
        <w:gridCol w:w="3120"/>
        <w:gridCol w:w="3120"/>
      </w:tblGrid>
      <w:tr>
        <w:tc>
          <w:tcPr>
            <w:tcW w:w="3120" w:type="dxa"/>
          </w:tcPr>
          <w:p>
            <w:pPr>
              <w:spacing w:after="0"/>
            </w:pPr>
            <w:r>
              <w:t xml:space="preserve">Draft figure</w:t>
            </w:r>
          </w:p>
        </w:tc>
        <w:tc>
          <w:tcPr>
            <w:tcW w:w="3120" w:type="dxa"/>
          </w:tcPr>
          <w:p>
            <w:pPr>
              <w:spacing w:after="0"/>
            </w:pPr>
            <w:r>
              <w:t xml:space="preserve">Value at close 2026-08-15</w:t>
            </w:r>
          </w:p>
        </w:tc>
        <w:tc>
          <w:tcPr>
            <w:tcW w:w="3120" w:type="dxa"/>
          </w:tcPr>
          <w:p>
            <w:pPr>
              <w:spacing w:after="0"/>
            </w:pPr>
            <w:r>
              <w:t xml:space="preserve">Status</w:t>
            </w:r>
          </w:p>
        </w:tc>
      </w:tr>
      <w:tr>
        <w:tc>
          <w:tcPr>
            <w:tcW w:w="3120" w:type="dxa"/>
          </w:tcPr>
          <w:p>
            <w:pPr>
              <w:spacing w:after="0"/>
            </w:pPr>
            <w:r>
              <w:t xml:space="preserve">16 reviewers completed the full corpus</w:t>
            </w:r>
          </w:p>
        </w:tc>
        <w:tc>
          <w:tcPr>
            <w:tcW w:w="3120" w:type="dxa"/>
          </w:tcPr>
          <w:p>
            <w:pPr>
              <w:spacing w:after="0"/>
            </w:pPr>
            <w:r>
              <w:rPr>
                <w:b/>
              </w:rPr>
              <w:t xml:space="preserve">16</w:t>
            </w:r>
          </w:p>
        </w:tc>
        <w:tc>
          <w:tcPr>
            <w:tcW w:w="3120" w:type="dxa"/>
          </w:tcPr>
          <w:p>
            <w:pPr>
              <w:spacing w:after="0"/>
            </w:pPr>
            <w:r>
              <w:t xml:space="preserve">unchanged</w:t>
            </w:r>
          </w:p>
        </w:tc>
      </w:tr>
      <w:tr>
        <w:tc>
          <w:tcPr>
            <w:tcW w:w="3120" w:type="dxa"/>
          </w:tcPr>
          <w:p>
            <w:pPr>
              <w:spacing w:after="0"/>
            </w:pPr>
            <w:r>
              <w:t xml:space="preserve">11 countries</w:t>
            </w:r>
          </w:p>
        </w:tc>
        <w:tc>
          <w:tcPr>
            <w:tcW w:w="3120" w:type="dxa"/>
          </w:tcPr>
          <w:p>
            <w:pPr>
              <w:spacing w:after="0"/>
            </w:pPr>
            <w:r>
              <w:rPr>
                <w:b/>
              </w:rPr>
              <w:t xml:space="preserve">11</w:t>
            </w:r>
          </w:p>
        </w:tc>
        <w:tc>
          <w:tcPr>
            <w:tcW w:w="3120" w:type="dxa"/>
          </w:tcPr>
          <w:p>
            <w:pPr>
              <w:spacing w:after="0"/>
            </w:pPr>
            <w:r>
              <w:t xml:space="preserve">unchanged</w:t>
            </w:r>
          </w:p>
        </w:tc>
      </w:tr>
      <w:tr>
        <w:tc>
          <w:tcPr>
            <w:tcW w:w="3120" w:type="dxa"/>
          </w:tcPr>
          <w:p>
            <w:pPr>
              <w:spacing w:after="0"/>
            </w:pPr>
            <w:r>
              <w:t xml:space="preserve">5 continents</w:t>
            </w:r>
          </w:p>
        </w:tc>
        <w:tc>
          <w:tcPr>
            <w:tcW w:w="3120" w:type="dxa"/>
          </w:tcPr>
          <w:p>
            <w:pPr>
              <w:spacing w:after="0"/>
            </w:pPr>
            <w:r>
              <w:rPr>
                <w:b/>
              </w:rPr>
              <w:t xml:space="preserve">5</w:t>
            </w:r>
          </w:p>
        </w:tc>
        <w:tc>
          <w:tcPr>
            <w:tcW w:w="3120" w:type="dxa"/>
          </w:tcPr>
          <w:p>
            <w:pPr>
              <w:spacing w:after="0"/>
            </w:pPr>
            <w:r>
              <w:t xml:space="preserve">unchanged</w:t>
            </w:r>
          </w:p>
        </w:tc>
      </w:tr>
      <w:tr>
        <w:tc>
          <w:tcPr>
            <w:tcW w:w="3120" w:type="dxa"/>
          </w:tcPr>
          <w:p>
            <w:pPr>
              <w:spacing w:after="0"/>
            </w:pPr>
            <w:r>
              <w:t xml:space="preserve">384 graded reads</w:t>
            </w:r>
          </w:p>
        </w:tc>
        <w:tc>
          <w:tcPr>
            <w:tcW w:w="3120" w:type="dxa"/>
          </w:tcPr>
          <w:p>
            <w:pPr>
              <w:spacing w:after="0"/>
            </w:pPr>
            <w:r>
              <w:rPr>
                <w:b/>
              </w:rPr>
              <w:t xml:space="preserve">384</w:t>
            </w:r>
            <w:r>
              <w:t xml:space="preserve"> (16 × 24 after keeping the latest submission per record; 510 raw rows including resubmissions)</w:t>
            </w:r>
          </w:p>
        </w:tc>
        <w:tc>
          <w:tcPr>
            <w:tcW w:w="3120" w:type="dxa"/>
          </w:tcPr>
          <w:p>
            <w:pPr>
              <w:spacing w:after="0"/>
            </w:pPr>
            <w:r>
              <w:t xml:space="preserve">unchanged</w:t>
            </w:r>
          </w:p>
        </w:tc>
      </w:tr>
      <w:tr>
        <w:tc>
          <w:tcPr>
            <w:tcW w:w="3120" w:type="dxa"/>
          </w:tcPr>
          <w:p>
            <w:pPr>
              <w:spacing w:after="0"/>
            </w:pPr>
            <w:r>
              <w:t xml:space="preserve">Panel accuracy 83.9%, 95% CI 72.7 to 95.1</w:t>
            </w:r>
          </w:p>
        </w:tc>
        <w:tc>
          <w:tcPr>
            <w:tcW w:w="3120" w:type="dxa"/>
          </w:tcPr>
          <w:p>
            <w:pPr>
              <w:spacing w:after="0"/>
            </w:pPr>
            <w:r>
              <w:rPr>
                <w:b/>
              </w:rPr>
              <w:t xml:space="preserve">not recomputed, see section 4</w:t>
            </w:r>
          </w:p>
        </w:tc>
        <w:tc>
          <w:tcPr>
            <w:tcW w:w="3120" w:type="dxa"/>
          </w:tcPr>
          <w:p>
            <w:pPr>
              <w:spacing w:after="0"/>
            </w:pPr>
            <w:r>
              <w:t xml:space="preserve">verify before submission</w:t>
            </w:r>
          </w:p>
        </w:tc>
      </w:tr>
      <w:tr>
        <w:tc>
          <w:tcPr>
            <w:tcW w:w="3120" w:type="dxa"/>
          </w:tcPr>
          <w:p>
            <w:pPr>
              <w:spacing w:after="0"/>
            </w:pPr>
            <w:r>
              <w:t xml:space="preserve">Sensitivity 87.0%, specificity 80.7%</w:t>
            </w:r>
          </w:p>
        </w:tc>
        <w:tc>
          <w:tcPr>
            <w:tcW w:w="3120" w:type="dxa"/>
          </w:tcPr>
          <w:p>
            <w:pPr>
              <w:spacing w:after="0"/>
            </w:pPr>
            <w:r>
              <w:rPr>
                <w:b/>
              </w:rPr>
              <w:t xml:space="preserve">not recomputed, see section 4</w:t>
            </w:r>
          </w:p>
        </w:tc>
        <w:tc>
          <w:tcPr>
            <w:tcW w:w="3120" w:type="dxa"/>
          </w:tcPr>
          <w:p>
            <w:pPr>
              <w:spacing w:after="0"/>
            </w:pPr>
            <w:r>
              <w:t xml:space="preserve">verify before submission</w:t>
            </w:r>
          </w:p>
        </w:tc>
      </w:tr>
      <w:tr>
        <w:tc>
          <w:tcPr>
            <w:tcW w:w="3120" w:type="dxa"/>
          </w:tcPr>
          <w:p>
            <w:pPr>
              <w:spacing w:after="0"/>
            </w:pPr>
            <w:r>
              <w:t xml:space="preserve">Cross-vendor 84%, 15 records, latest run 2026-07-06, band 78 to 87%</w:t>
            </w:r>
          </w:p>
        </w:tc>
        <w:tc>
          <w:tcPr>
            <w:tcW w:w="3120" w:type="dxa"/>
          </w:tcPr>
          <w:p>
            <w:pPr>
              <w:spacing w:after="0"/>
            </w:pPr>
            <w:r>
              <w:rPr>
                <w:b/>
              </w:rPr>
              <w:t xml:space="preserve">87.8% on 15 records, latest run 2026-08-12. 55 runs on record, range 66.7 to 93.3%, mean 84.5%</w:t>
            </w:r>
          </w:p>
        </w:tc>
        <w:tc>
          <w:tcPr>
            <w:tcW w:w="3120" w:type="dxa"/>
          </w:tcPr>
          <w:p>
            <w:pPr>
              <w:spacing w:after="0"/>
            </w:pPr>
            <w:r>
              <w:rPr>
                <w:b/>
              </w:rPr>
              <w:t xml:space="preserve">STALE, must be updated</w:t>
            </w:r>
          </w:p>
        </w:tc>
      </w:tr>
      <w:tr>
        <w:tc>
          <w:tcPr>
            <w:tcW w:w="3120" w:type="dxa"/>
          </w:tcPr>
          <w:p>
            <w:pPr>
              <w:spacing w:after="0"/>
            </w:pPr>
            <w:r>
              <w:t xml:space="preserve">Reliability corpus: 108 submitted, 99 after one label per rater per record</w:t>
            </w:r>
          </w:p>
        </w:tc>
        <w:tc>
          <w:tcPr>
            <w:tcW w:w="3120" w:type="dxa"/>
          </w:tcPr>
          <w:p>
            <w:pPr>
              <w:spacing w:after="0"/>
            </w:pPr>
            <w:r>
              <w:rPr>
                <w:b/>
              </w:rPr>
              <w:t xml:space="preserve">113 submitted, 104 after the same rule</w:t>
            </w:r>
          </w:p>
        </w:tc>
        <w:tc>
          <w:tcPr>
            <w:tcW w:w="3120" w:type="dxa"/>
          </w:tcPr>
          <w:p>
            <w:pPr>
              <w:spacing w:after="0"/>
            </w:pPr>
            <w:r>
              <w:rPr>
                <w:b/>
              </w:rPr>
              <w:t xml:space="preserve">update the counts</w:t>
            </w:r>
          </w:p>
        </w:tc>
      </w:tr>
      <w:tr>
        <w:tc>
          <w:tcPr>
            <w:tcW w:w="3120" w:type="dxa"/>
          </w:tcPr>
          <w:p>
            <w:pPr>
              <w:spacing w:after="0"/>
            </w:pPr>
            <w:r>
              <w:t xml:space="preserve">Experts Gwet's AC1 </w:t>
            </w:r>
            <w:r>
              <w:rPr>
                <w:b/>
              </w:rPr>
              <w:t xml:space="preserve">0.739</w:t>
            </w:r>
            <w:r>
              <w:t xml:space="preserve">, 36 labels, 10 records</w:t>
            </w:r>
          </w:p>
        </w:tc>
        <w:tc>
          <w:tcPr>
            <w:tcW w:w="3120" w:type="dxa"/>
          </w:tcPr>
          <w:p>
            <w:pPr>
              <w:spacing w:after="0"/>
            </w:pPr>
            <w:r>
              <w:rPr>
                <w:b/>
              </w:rPr>
              <w:t xml:space="preserve">0.739, 36 labels, 8 raters, 10 records</w:t>
            </w:r>
          </w:p>
        </w:tc>
        <w:tc>
          <w:tcPr>
            <w:tcW w:w="3120" w:type="dxa"/>
          </w:tcPr>
          <w:p>
            <w:pPr>
              <w:spacing w:after="0"/>
            </w:pPr>
            <w:r>
              <w:rPr>
                <w:b/>
              </w:rPr>
              <w:t xml:space="preserve">reproduces exactly</w:t>
            </w:r>
          </w:p>
        </w:tc>
      </w:tr>
      <w:tr>
        <w:tc>
          <w:tcPr>
            <w:tcW w:w="3120" w:type="dxa"/>
          </w:tcPr>
          <w:p>
            <w:pPr>
              <w:spacing w:after="0"/>
            </w:pPr>
            <w:r>
              <w:t xml:space="preserve">Trained reviewers AC1 </w:t>
            </w:r>
            <w:r>
              <w:rPr>
                <w:b/>
              </w:rPr>
              <w:t xml:space="preserve">0.624</w:t>
            </w:r>
            <w:r>
              <w:t xml:space="preserve">, 63 labels</w:t>
            </w:r>
          </w:p>
        </w:tc>
        <w:tc>
          <w:tcPr>
            <w:tcW w:w="3120" w:type="dxa"/>
          </w:tcPr>
          <w:p>
            <w:pPr>
              <w:spacing w:after="0"/>
            </w:pPr>
            <w:r>
              <w:rPr>
                <w:b/>
              </w:rPr>
              <w:t xml:space="preserve">0.623, 68 labels, 14 raters, 10 records</w:t>
            </w:r>
          </w:p>
        </w:tc>
        <w:tc>
          <w:tcPr>
            <w:tcW w:w="3120" w:type="dxa"/>
          </w:tcPr>
          <w:p>
            <w:pPr>
              <w:spacing w:after="0"/>
            </w:pPr>
            <w:r>
              <w:t xml:space="preserve">reproduces; label count up</w:t>
            </w:r>
          </w:p>
        </w:tc>
      </w:tr>
      <w:tr>
        <w:tc>
          <w:tcPr>
            <w:tcW w:w="3120" w:type="dxa"/>
          </w:tcPr>
          <w:p>
            <w:pPr>
              <w:spacing w:after="0"/>
            </w:pPr>
            <w:r>
              <w:t xml:space="preserve">Condition table on 14 Ready / 75 Gap</w:t>
            </w:r>
          </w:p>
        </w:tc>
        <w:tc>
          <w:tcPr>
            <w:tcW w:w="3120" w:type="dxa"/>
          </w:tcPr>
          <w:p>
            <w:pPr>
              <w:spacing w:after="0"/>
            </w:pPr>
            <w:r>
              <w:rPr>
                <w:b/>
              </w:rPr>
              <w:t xml:space="preserve">14 Ready / 77 Gap</w:t>
            </w:r>
            <w:r>
              <w:t xml:space="preserve">, all five still significant</w:t>
            </w:r>
          </w:p>
        </w:tc>
        <w:tc>
          <w:tcPr>
            <w:tcW w:w="3120" w:type="dxa"/>
          </w:tcPr>
          <w:p>
            <w:pPr>
              <w:spacing w:after="0"/>
            </w:pPr>
            <w:r>
              <w:rPr>
                <w:b/>
              </w:rPr>
              <w:t xml:space="preserve">update denominators</w:t>
            </w:r>
          </w:p>
        </w:tc>
      </w:tr>
      <w:tr>
        <w:tc>
          <w:tcPr>
            <w:tcW w:w="3120" w:type="dxa"/>
          </w:tcPr>
          <w:p>
            <w:pPr>
              <w:spacing w:after="0"/>
            </w:pPr>
            <w:r>
              <w:t xml:space="preserve">"no rater used fail... raters worked entirely in the upper two levels"</w:t>
            </w:r>
          </w:p>
        </w:tc>
        <w:tc>
          <w:tcPr>
            <w:tcW w:w="3120" w:type="dxa"/>
          </w:tcPr>
          <w:p>
            <w:pPr>
              <w:spacing w:after="0"/>
            </w:pPr>
            <w:r>
              <w:rPr>
                <w:b/>
              </w:rPr>
              <w:t xml:space="preserve">contradicted by the data, see section 5</w:t>
            </w:r>
          </w:p>
        </w:tc>
        <w:tc>
          <w:tcPr>
            <w:tcW w:w="3120" w:type="dxa"/>
          </w:tcPr>
          <w:p>
            <w:pPr>
              <w:spacing w:after="0"/>
            </w:pPr>
            <w:r>
              <w:rPr>
                <w:b/>
              </w:rPr>
              <w:t xml:space="preserve">CORRECT THIS</w:t>
            </w:r>
          </w:p>
        </w:tc>
      </w:tr>
      <w:tr>
        <w:tc>
          <w:tcPr>
            <w:tcW w:w="3120" w:type="dxa"/>
          </w:tcPr>
          <w:p>
            <w:pPr>
              <w:spacing w:after="0"/>
            </w:pPr>
            <w:r>
              <w:t xml:space="preserve">Status line: closes "expected 14 August 2026"</w:t>
            </w:r>
          </w:p>
        </w:tc>
        <w:tc>
          <w:tcPr>
            <w:tcW w:w="3120" w:type="dxa"/>
          </w:tcPr>
          <w:p>
            <w:pPr>
              <w:spacing w:after="0"/>
            </w:pPr>
            <w:r>
              <w:t xml:space="preserve">closed </w:t>
            </w:r>
            <w:r>
              <w:rPr>
                <w:b/>
              </w:rPr>
              <w:t xml:space="preserve">2026-08-15</w:t>
            </w:r>
          </w:p>
        </w:tc>
        <w:tc>
          <w:tcPr>
            <w:tcW w:w="3120" w:type="dxa"/>
          </w:tcPr>
          <w:p>
            <w:pPr>
              <w:spacing w:after="0"/>
            </w:pPr>
            <w:r>
              <w:t xml:space="preserve">update</w:t>
            </w:r>
          </w:p>
        </w:tc>
      </w:tr>
    </w:tbl>
    <w:p>
      <w:pPr/>
      <w:r>
        <w:t/>
      </w:r>
    </w:p>
    <w:p>
      <w:pPr>
        <w:pBdr>
          <w:bottom w:val="single" w:sz="6" w:space="1" w:color="AAAAAA"/>
        </w:pBdr>
      </w:pPr>
    </w:p>
    <w:p>
      <w:pPr>
        <w:pStyle w:val="Heading2"/>
        <w:spacing w:after="140"/>
      </w:pPr>
      <w:r>
        <w:t xml:space="preserve">3. The reliability hold from 2026-08-01 is resolved, and the published figures were right</w:t>
      </w:r>
    </w:p>
    <w:p>
      <w:pPr>
        <w:spacing w:after="140"/>
      </w:pPr>
      <w:r>
        <w:rPr>
          <w:rFonts w:ascii="Consolas" w:hAnsi="Consolas"/>
        </w:rPr>
        <w:t xml:space="preserve">research/Accuracy_Sweep_2026-08-01.md</w:t>
      </w:r>
      <w:r>
        <w:t xml:space="preserve"> recorded that trained-reviewer AC1 </w:t>
      </w:r>
      <w:r>
        <w:rPr>
          <w:b/>
        </w:rPr>
        <w:t xml:space="preserve">collapsed from 0.63 to 0.18</w:t>
      </w:r>
      <w:r>
        <w:t xml:space="preserve"> when recomputed on the full database, and blocked every reliability number pending an owner decision on whether the set was "still accumulating" or "curated and locked".</w:t>
      </w:r>
    </w:p>
    <w:p>
      <w:pPr>
        <w:spacing w:after="140"/>
      </w:pPr>
      <w:r>
        <w:rPr>
          <w:b/>
        </w:rPr>
        <w:t xml:space="preserve">Neither. The collapse was an instrument-mixing error, and it is now demonstrated rather than argued.</w:t>
      </w:r>
    </w:p>
    <w:p>
      <w:pPr>
        <w:spacing w:after="140"/>
      </w:pPr>
      <w:r>
        <w:rPr>
          <w:rFonts w:ascii="Consolas" w:hAnsi="Consolas"/>
        </w:rPr>
        <w:t xml:space="preserve">bench_labels.mode</w:t>
      </w:r>
      <w:r>
        <w:t xml:space="preserve"> records which instrument a rater used: </w:t>
      </w:r>
      <w:r>
        <w:rPr>
          <w:rFonts w:ascii="Consolas" w:hAnsi="Consolas"/>
        </w:rPr>
        <w:t xml:space="preserve">jrs</w:t>
      </w:r>
      <w:r>
        <w:t xml:space="preserve"> for the five conditions, </w:t>
      </w:r>
      <w:r>
        <w:rPr>
          <w:rFonts w:ascii="Consolas" w:hAnsi="Consolas"/>
        </w:rPr>
        <w:t xml:space="preserve">normal</w:t>
      </w:r>
      <w:r>
        <w:t xml:space="preserve"> for the unstructured baseline. AC1 under four inclusion rules:</w:t>
      </w:r>
    </w:p>
    <w:tbl>
      <w:tblPr>
        <w:tblStyle w:val="TableGrid"/>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120"/>
        <w:gridCol w:w="3120"/>
        <w:gridCol w:w="3120"/>
      </w:tblGrid>
      <w:tr>
        <w:tc>
          <w:tcPr>
            <w:tcW w:w="3120" w:type="dxa"/>
          </w:tcPr>
          <w:p>
            <w:pPr>
              <w:spacing w:after="0"/>
            </w:pPr>
            <w:r>
              <w:t xml:space="preserve">Inclusion rule</w:t>
            </w:r>
          </w:p>
        </w:tc>
        <w:tc>
          <w:tcPr>
            <w:tcW w:w="3120" w:type="dxa"/>
          </w:tcPr>
          <w:p>
            <w:pPr>
              <w:spacing w:after="0"/>
            </w:pPr>
            <w:r>
              <w:t xml:space="preserve">Experts</w:t>
            </w:r>
          </w:p>
        </w:tc>
        <w:tc>
          <w:tcPr>
            <w:tcW w:w="3120" w:type="dxa"/>
          </w:tcPr>
          <w:p>
            <w:pPr>
              <w:spacing w:after="0"/>
            </w:pPr>
            <w:r>
              <w:t xml:space="preserve">Trained reviewers</w:t>
            </w:r>
          </w:p>
        </w:tc>
      </w:tr>
      <w:tr>
        <w:tc>
          <w:tcPr>
            <w:tcW w:w="3120" w:type="dxa"/>
          </w:tcPr>
          <w:p>
            <w:pPr>
              <w:spacing w:after="0"/>
            </w:pPr>
            <w:r>
              <w:rPr>
                <w:b/>
              </w:rPr>
              <w:t xml:space="preserve">jrs mode only, one label per rater per record</w:t>
            </w:r>
            <w:r>
              <w:t xml:space="preserve"> (the draft's stated rule)</w:t>
            </w:r>
          </w:p>
        </w:tc>
        <w:tc>
          <w:tcPr>
            <w:tcW w:w="3120" w:type="dxa"/>
          </w:tcPr>
          <w:p>
            <w:pPr>
              <w:spacing w:after="0"/>
            </w:pPr>
            <w:r>
              <w:rPr>
                <w:b/>
              </w:rPr>
              <w:t xml:space="preserve">0.739</w:t>
            </w:r>
            <w:r>
              <w:t xml:space="preserve"> (36 labels, 8 raters)</w:t>
            </w:r>
          </w:p>
        </w:tc>
        <w:tc>
          <w:tcPr>
            <w:tcW w:w="3120" w:type="dxa"/>
          </w:tcPr>
          <w:p>
            <w:pPr>
              <w:spacing w:after="0"/>
            </w:pPr>
            <w:r>
              <w:rPr>
                <w:b/>
              </w:rPr>
              <w:t xml:space="preserve">0.623</w:t>
            </w:r>
            <w:r>
              <w:t xml:space="preserve"> (68 labels, 14 raters)</w:t>
            </w:r>
          </w:p>
        </w:tc>
      </w:tr>
      <w:tr>
        <w:tc>
          <w:tcPr>
            <w:tcW w:w="3120" w:type="dxa"/>
          </w:tcPr>
          <w:p>
            <w:pPr>
              <w:spacing w:after="0"/>
            </w:pPr>
            <w:r>
              <w:t xml:space="preserve">jrs mode only, not deduplicated</w:t>
            </w:r>
          </w:p>
        </w:tc>
        <w:tc>
          <w:tcPr>
            <w:tcW w:w="3120" w:type="dxa"/>
          </w:tcPr>
          <w:p>
            <w:pPr>
              <w:spacing w:after="0"/>
            </w:pPr>
            <w:r>
              <w:t xml:space="preserve">0.739 (36)</w:t>
            </w:r>
          </w:p>
        </w:tc>
        <w:tc>
          <w:tcPr>
            <w:tcW w:w="3120" w:type="dxa"/>
          </w:tcPr>
          <w:p>
            <w:pPr>
              <w:spacing w:after="0"/>
            </w:pPr>
            <w:r>
              <w:t xml:space="preserve">0.634 (77)</w:t>
            </w:r>
          </w:p>
        </w:tc>
      </w:tr>
      <w:tr>
        <w:tc>
          <w:tcPr>
            <w:tcW w:w="3120" w:type="dxa"/>
          </w:tcPr>
          <w:p>
            <w:pPr>
              <w:spacing w:after="0"/>
            </w:pPr>
            <w:r>
              <w:t xml:space="preserve">all labels including </w:t>
            </w:r>
            <w:r>
              <w:rPr>
                <w:rFonts w:ascii="Consolas" w:hAnsi="Consolas"/>
              </w:rPr>
              <w:t xml:space="preserve">normal</w:t>
            </w:r>
            <w:r>
              <w:t xml:space="preserve"> mode, deduplicated</w:t>
            </w:r>
          </w:p>
        </w:tc>
        <w:tc>
          <w:tcPr>
            <w:tcW w:w="3120" w:type="dxa"/>
          </w:tcPr>
          <w:p>
            <w:pPr>
              <w:spacing w:after="0"/>
            </w:pPr>
            <w:r>
              <w:t xml:space="preserve">0.739 (36)</w:t>
            </w:r>
          </w:p>
        </w:tc>
        <w:tc>
          <w:tcPr>
            <w:tcW w:w="3120" w:type="dxa"/>
          </w:tcPr>
          <w:p>
            <w:pPr>
              <w:spacing w:after="0"/>
            </w:pPr>
            <w:r>
              <w:rPr>
                <w:b/>
              </w:rPr>
              <w:t xml:space="preserve">0.157</w:t>
            </w:r>
            <w:r>
              <w:t xml:space="preserve"> (83 labels, 17 raters)</w:t>
            </w:r>
          </w:p>
        </w:tc>
      </w:tr>
      <w:tr>
        <w:tc>
          <w:tcPr>
            <w:tcW w:w="3120" w:type="dxa"/>
          </w:tcPr>
          <w:p>
            <w:pPr>
              <w:spacing w:after="0"/>
            </w:pPr>
            <w:r>
              <w:t xml:space="preserve">all labels including </w:t>
            </w:r>
            <w:r>
              <w:rPr>
                <w:rFonts w:ascii="Consolas" w:hAnsi="Consolas"/>
              </w:rPr>
              <w:t xml:space="preserve">normal</w:t>
            </w:r>
            <w:r>
              <w:t xml:space="preserve"> mode, not deduplicated</w:t>
            </w:r>
          </w:p>
        </w:tc>
        <w:tc>
          <w:tcPr>
            <w:tcW w:w="3120" w:type="dxa"/>
          </w:tcPr>
          <w:p>
            <w:pPr>
              <w:spacing w:after="0"/>
            </w:pPr>
            <w:r>
              <w:t xml:space="preserve">0.739 (36)</w:t>
            </w:r>
          </w:p>
        </w:tc>
        <w:tc>
          <w:tcPr>
            <w:tcW w:w="3120" w:type="dxa"/>
          </w:tcPr>
          <w:p>
            <w:pPr>
              <w:spacing w:after="0"/>
            </w:pPr>
            <w:r>
              <w:rPr>
                <w:b/>
              </w:rPr>
              <w:t xml:space="preserve">0.180</w:t>
            </w:r>
            <w:r>
              <w:t xml:space="preserve"> (93 labels, 17 raters)</w:t>
            </w:r>
          </w:p>
        </w:tc>
      </w:tr>
    </w:tbl>
    <w:p>
      <w:pPr/>
      <w:r>
        <w:t/>
      </w:r>
    </w:p>
    <w:p>
      <w:pPr>
        <w:spacing w:after="140"/>
      </w:pPr>
      <w:r>
        <w:rPr>
          <w:b/>
        </w:rPr>
        <w:t xml:space="preserve">The three raters the 2026-08-01 sweep named as the cause are exactly and only the three `normal`-mode raters:</w:t>
      </w:r>
    </w:p>
    <w:tbl>
      <w:tblPr>
        <w:tblStyle w:val="TableGrid"/>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120"/>
        <w:gridCol w:w="3120"/>
        <w:gridCol w:w="3120"/>
      </w:tblGrid>
      <w:tr>
        <w:tc>
          <w:tcPr>
            <w:tcW w:w="3120" w:type="dxa"/>
          </w:tcPr>
          <w:p>
            <w:pPr>
              <w:spacing w:after="0"/>
            </w:pPr>
            <w:r>
              <w:t xml:space="preserve">Rater</w:t>
            </w:r>
          </w:p>
        </w:tc>
        <w:tc>
          <w:tcPr>
            <w:tcW w:w="3120" w:type="dxa"/>
          </w:tcPr>
          <w:p>
            <w:pPr>
              <w:spacing w:after="0"/>
            </w:pPr>
            <w:r>
              <w:t xml:space="preserve">Labels</w:t>
            </w:r>
          </w:p>
        </w:tc>
        <w:tc>
          <w:tcPr>
            <w:tcW w:w="3120" w:type="dxa"/>
          </w:tcPr>
          <w:p>
            <w:pPr>
              <w:spacing w:after="0"/>
            </w:pPr>
            <w:r>
              <w:t xml:space="preserve">Mode</w:t>
            </w:r>
          </w:p>
        </w:tc>
      </w:tr>
      <w:tr>
        <w:tc>
          <w:tcPr>
            <w:tcW w:w="3120" w:type="dxa"/>
          </w:tcPr>
          <w:p>
            <w:pPr>
              <w:spacing w:after="0"/>
            </w:pPr>
            <w:r>
              <w:t xml:space="preserve">R-mqhv2o4r8nct</w:t>
            </w:r>
          </w:p>
        </w:tc>
        <w:tc>
          <w:tcPr>
            <w:tcW w:w="3120" w:type="dxa"/>
          </w:tcPr>
          <w:p>
            <w:pPr>
              <w:spacing w:after="0"/>
            </w:pPr>
            <w:r>
              <w:t xml:space="preserve">5</w:t>
            </w:r>
          </w:p>
        </w:tc>
        <w:tc>
          <w:tcPr>
            <w:tcW w:w="3120" w:type="dxa"/>
          </w:tcPr>
          <w:p>
            <w:pPr>
              <w:spacing w:after="0"/>
            </w:pPr>
            <w:r>
              <w:rPr>
                <w:rFonts w:ascii="Consolas" w:hAnsi="Consolas"/>
              </w:rPr>
              <w:t xml:space="preserve">normal</w:t>
            </w:r>
          </w:p>
        </w:tc>
      </w:tr>
      <w:tr>
        <w:tc>
          <w:tcPr>
            <w:tcW w:w="3120" w:type="dxa"/>
          </w:tcPr>
          <w:p>
            <w:pPr>
              <w:spacing w:after="0"/>
            </w:pPr>
            <w:r>
              <w:t xml:space="preserve">R-mqn414vzho7i</w:t>
            </w:r>
          </w:p>
        </w:tc>
        <w:tc>
          <w:tcPr>
            <w:tcW w:w="3120" w:type="dxa"/>
          </w:tcPr>
          <w:p>
            <w:pPr>
              <w:spacing w:after="0"/>
            </w:pPr>
            <w:r>
              <w:t xml:space="preserve">6</w:t>
            </w:r>
          </w:p>
        </w:tc>
        <w:tc>
          <w:tcPr>
            <w:tcW w:w="3120" w:type="dxa"/>
          </w:tcPr>
          <w:p>
            <w:pPr>
              <w:spacing w:after="0"/>
            </w:pPr>
            <w:r>
              <w:rPr>
                <w:rFonts w:ascii="Consolas" w:hAnsi="Consolas"/>
              </w:rPr>
              <w:t xml:space="preserve">normal</w:t>
            </w:r>
          </w:p>
        </w:tc>
      </w:tr>
      <w:tr>
        <w:tc>
          <w:tcPr>
            <w:tcW w:w="3120" w:type="dxa"/>
          </w:tcPr>
          <w:p>
            <w:pPr>
              <w:spacing w:after="0"/>
            </w:pPr>
            <w:r>
              <w:t xml:space="preserve">R-mqnibu38bbxi</w:t>
            </w:r>
          </w:p>
        </w:tc>
        <w:tc>
          <w:tcPr>
            <w:tcW w:w="3120" w:type="dxa"/>
          </w:tcPr>
          <w:p>
            <w:pPr>
              <w:spacing w:after="0"/>
            </w:pPr>
            <w:r>
              <w:t xml:space="preserve">5</w:t>
            </w:r>
          </w:p>
        </w:tc>
        <w:tc>
          <w:tcPr>
            <w:tcW w:w="3120" w:type="dxa"/>
          </w:tcPr>
          <w:p>
            <w:pPr>
              <w:spacing w:after="0"/>
            </w:pPr>
            <w:r>
              <w:rPr>
                <w:rFonts w:ascii="Consolas" w:hAnsi="Consolas"/>
              </w:rPr>
              <w:t xml:space="preserve">normal</w:t>
            </w:r>
          </w:p>
        </w:tc>
      </w:tr>
    </w:tbl>
    <w:p>
      <w:pPr/>
      <w:r>
        <w:t/>
      </w:r>
    </w:p>
    <w:p>
      <w:pPr>
        <w:spacing w:after="140"/>
      </w:pPr>
      <w:r>
        <w:t xml:space="preserve">Sixteen labels, all of them from the unstructured arm. Those raters were </w:t>
      </w:r>
      <w:r>
        <w:rPr>
          <w:b/>
        </w:rPr>
        <w:t xml:space="preserve">not using the five conditions</w:t>
      </w:r>
      <w:r>
        <w:t xml:space="preserve">. Putting them into a reliability estimate for the JRS instrument measures agreement between people using two different methods, which is not a reliability coefficient at all.</w:t>
      </w:r>
    </w:p>
    <w:p>
      <w:pPr>
        <w:spacing w:after="140"/>
      </w:pPr>
      <w:r>
        <w:t xml:space="preserve">The 2026-08-01 note observed that "those raters skew Ready/Needs-work while the earlier pool skews Gap". That is right, and it is the reason to exclude them rather than a reason to worry: </w:t>
      </w:r>
      <w:r>
        <w:rPr>
          <w:rFonts w:ascii="Consolas" w:hAnsi="Consolas"/>
        </w:rPr>
        <w:t xml:space="preserve">normal</w:t>
      </w:r>
      <w:r>
        <w:t xml:space="preserve"> determinations run 8 Ready / 7 Review / 1 Gap, against </w:t>
      </w:r>
      <w:r>
        <w:rPr>
          <w:rFonts w:ascii="Consolas" w:hAnsi="Consolas"/>
        </w:rPr>
        <w:t xml:space="preserve">jrs</w:t>
      </w:r>
      <w:r>
        <w:t xml:space="preserve"> at 14 Ready / 22 Review / 77 Gap. </w:t>
      </w:r>
      <w:r>
        <w:rPr>
          <w:b/>
        </w:rPr>
        <w:t xml:space="preserve">That difference is the effect the comparison study exists to measure.</w:t>
      </w:r>
      <w:r>
        <w:t xml:space="preserve"> Folding it into the reliability figure destroys both numbers.</w:t>
      </w:r>
    </w:p>
    <w:p>
      <w:pPr>
        <w:spacing w:after="140"/>
      </w:pPr>
      <w:r>
        <w:rPr>
          <w:b/>
        </w:rPr>
        <w:t xml:space="preserve">Recommendation, for your decision, not mine:</w:t>
      </w:r>
      <w:r>
        <w:t xml:space="preserve"> state the inclusion rule explicitly in the methods as </w:t>
      </w:r>
      <w:r>
        <w:rPr>
          <w:i/>
        </w:rPr>
        <w:t xml:space="preserve">"labels recorded under the five-condition instrument (`mode = jrs`), one label per rater per record, latest submission retained"</w:t>
      </w:r>
      <w:r>
        <w:t xml:space="preserve">, and keep 0.739 and 0.624. That rule is not chosen to produce a result: it is the rule the draft already describes, and it is the only rule under which the coefficient measures what the paper says it measures. </w:t>
      </w:r>
      <w:r>
        <w:rPr>
          <w:b/>
        </w:rPr>
        <w:t xml:space="preserve">0.624 in the draft versus 0.623 recomputed is a rounding difference, not a change.</w:t>
      </w:r>
    </w:p>
    <w:p>
      <w:pPr>
        <w:pBdr>
          <w:bottom w:val="single" w:sz="6" w:space="1" w:color="AAAAAA"/>
        </w:pBdr>
      </w:pPr>
    </w:p>
    <w:p>
      <w:pPr>
        <w:pStyle w:val="Heading2"/>
        <w:spacing w:after="140"/>
      </w:pPr>
      <w:r>
        <w:t xml:space="preserve">4. What could NOT be recomputed, and why that matters before submission</w:t>
      </w:r>
    </w:p>
    <w:p>
      <w:pPr>
        <w:spacing w:after="140"/>
      </w:pPr>
      <w:r>
        <w:rPr>
          <w:b/>
        </w:rPr>
        <w:t xml:space="preserve">The accuracy figures cannot be verified from the aggregate views.</w:t>
      </w:r>
      <w:r>
        <w:t xml:space="preserve"> </w:t>
      </w:r>
      <w:r>
        <w:rPr>
          <w:rFonts w:ascii="Consolas" w:hAnsi="Consolas"/>
        </w:rPr>
        <w:t xml:space="preserve">pilot_progress</w:t>
      </w:r>
      <w:r>
        <w:t xml:space="preserve"> carries a participant code and a read count and nothing else. The per-record judgments needed for accuracy, sensitivity and specificity sit in a table that is RLS-locked and returns empty under the anon key.</w:t>
      </w:r>
    </w:p>
    <w:p>
      <w:pPr>
        <w:spacing w:after="140"/>
      </w:pPr>
      <w:r>
        <w:t xml:space="preserve">So </w:t>
      </w:r>
      <w:r>
        <w:rPr>
          <w:b/>
        </w:rPr>
        <w:t xml:space="preserve">83.9%, the 72.7 to 95.1 interval, sensitivity 87.0% and specificity 80.7% are carried forward from the 6 August computation and have not been re-verified at close.</w:t>
      </w:r>
      <w:r>
        <w:t xml:space="preserve"> They are the headline result of the paper.</w:t>
      </w:r>
    </w:p>
    <w:p>
      <w:pPr>
        <w:spacing w:after="140"/>
      </w:pPr>
      <w:r>
        <w:t xml:space="preserve">They almost certainly have not moved, because the inputs did not: the same 16 reviewers, the same 384 reads, nobody new started. But "almost certainly" is not what a locked figure means. </w:t>
      </w:r>
      <w:r>
        <w:rPr>
          <w:b/>
        </w:rPr>
        <w:t xml:space="preserve">Re-run the accuracy pass with a service-role query before submission</w:t>
      </w:r>
      <w:r>
        <w:t xml:space="preserve">, and if it agrees, the paper is locked. If it does not, you need to know that before a reviewer does.</w:t>
      </w:r>
    </w:p>
    <w:p>
      <w:pPr>
        <w:pBdr>
          <w:bottom w:val="single" w:sz="6" w:space="1" w:color="AAAAAA"/>
        </w:pBdr>
      </w:pPr>
    </w:p>
    <w:p>
      <w:pPr>
        <w:pStyle w:val="Heading2"/>
        <w:spacing w:after="140"/>
      </w:pPr>
      <w:r>
        <w:t xml:space="preserve">5. One claim in the draft is contradicted by the data</w:t>
      </w:r>
    </w:p>
    <w:p>
      <w:pPr>
        <w:spacing w:after="140"/>
      </w:pPr>
      <w:r>
        <w:t xml:space="preserve">Section 5.4 ends:</w:t>
      </w:r>
    </w:p>
    <w:p>
      <w:pPr>
        <w:spacing w:after="140"/>
      </w:pPr>
      <w:r>
        <w:t xml:space="preserve">&gt; </w:t>
      </w:r>
      <w:r>
        <w:rPr>
          <w:i/>
        </w:rPr>
        <w:t xml:space="preserve">"The instrument offers pass, review and fail on each condition, and across all 108 structured labels no rater used fail. Raters worked entirely in the upper two levels, so the separations above are between pass and review rather than across the full scale, and the instrument's behaviour at its lowest level is untested in this corpus."</w:t>
      </w:r>
    </w:p>
    <w:p>
      <w:pPr>
        <w:spacing w:after="140"/>
      </w:pPr>
      <w:r>
        <w:t xml:space="preserve">That is not what the data shows. The three levels stored are </w:t>
      </w:r>
      <w:r>
        <w:rPr>
          <w:rFonts w:ascii="Consolas" w:hAnsi="Consolas"/>
        </w:rPr>
        <w:t xml:space="preserve">pass</w:t>
      </w:r>
      <w:r>
        <w:t xml:space="preserve">, </w:t>
      </w:r>
      <w:r>
        <w:rPr>
          <w:rFonts w:ascii="Consolas" w:hAnsi="Consolas"/>
        </w:rPr>
        <w:t xml:space="preserve">review</w:t>
      </w:r>
      <w:r>
        <w:t xml:space="preserve"> and </w:t>
      </w:r>
      <w:r>
        <w:rPr>
          <w:rFonts w:ascii="Consolas" w:hAnsi="Consolas"/>
        </w:rPr>
        <w:t xml:space="preserve">gap</w:t>
      </w:r>
      <w:r>
        <w:t xml:space="preserve">. Across the 113 jrs-mode labels:</w:t>
      </w:r>
    </w:p>
    <w:tbl>
      <w:tblPr>
        <w:tblStyle w:val="TableGrid"/>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680"/>
        <w:gridCol w:w="4680"/>
      </w:tblGrid>
      <w:tr>
        <w:tc>
          <w:tcPr>
            <w:tcW w:w="4680" w:type="dxa"/>
          </w:tcPr>
          <w:p>
            <w:pPr>
              <w:spacing w:after="0"/>
            </w:pPr>
            <w:r>
              <w:t xml:space="preserve">Value</w:t>
            </w:r>
          </w:p>
        </w:tc>
        <w:tc>
          <w:tcPr>
            <w:tcW w:w="4680" w:type="dxa"/>
          </w:tcPr>
          <w:p>
            <w:pPr>
              <w:spacing w:after="0"/>
            </w:pPr>
            <w:r>
              <w:t xml:space="preserve">Times used</w:t>
            </w:r>
          </w:p>
        </w:tc>
      </w:tr>
      <w:tr>
        <w:tc>
          <w:tcPr>
            <w:tcW w:w="4680" w:type="dxa"/>
          </w:tcPr>
          <w:p>
            <w:pPr>
              <w:spacing w:after="0"/>
            </w:pPr>
            <w:r>
              <w:rPr>
                <w:rFonts w:ascii="Consolas" w:hAnsi="Consolas"/>
              </w:rPr>
              <w:t xml:space="preserve">gap</w:t>
            </w:r>
            <w:r>
              <w:t xml:space="preserve"> (lowest level)</w:t>
            </w:r>
          </w:p>
        </w:tc>
        <w:tc>
          <w:tcPr>
            <w:tcW w:w="4680" w:type="dxa"/>
          </w:tcPr>
          <w:p>
            <w:pPr>
              <w:spacing w:after="0"/>
            </w:pPr>
            <w:r>
              <w:rPr>
                <w:b/>
              </w:rPr>
              <w:t xml:space="preserve">216</w:t>
            </w:r>
          </w:p>
        </w:tc>
      </w:tr>
      <w:tr>
        <w:tc>
          <w:tcPr>
            <w:tcW w:w="4680" w:type="dxa"/>
          </w:tcPr>
          <w:p>
            <w:pPr>
              <w:spacing w:after="0"/>
            </w:pPr>
            <w:r>
              <w:rPr>
                <w:rFonts w:ascii="Consolas" w:hAnsi="Consolas"/>
              </w:rPr>
              <w:t xml:space="preserve">pass</w:t>
            </w:r>
          </w:p>
        </w:tc>
        <w:tc>
          <w:tcPr>
            <w:tcW w:w="4680" w:type="dxa"/>
          </w:tcPr>
          <w:p>
            <w:pPr>
              <w:spacing w:after="0"/>
            </w:pPr>
            <w:r>
              <w:t xml:space="preserve">207</w:t>
            </w:r>
          </w:p>
        </w:tc>
      </w:tr>
      <w:tr>
        <w:tc>
          <w:tcPr>
            <w:tcW w:w="4680" w:type="dxa"/>
          </w:tcPr>
          <w:p>
            <w:pPr>
              <w:spacing w:after="0"/>
            </w:pPr>
            <w:r>
              <w:rPr>
                <w:rFonts w:ascii="Consolas" w:hAnsi="Consolas"/>
              </w:rPr>
              <w:t xml:space="preserve">review</w:t>
            </w:r>
          </w:p>
        </w:tc>
        <w:tc>
          <w:tcPr>
            <w:tcW w:w="4680" w:type="dxa"/>
          </w:tcPr>
          <w:p>
            <w:pPr>
              <w:spacing w:after="0"/>
            </w:pPr>
            <w:r>
              <w:t xml:space="preserve">142</w:t>
            </w:r>
          </w:p>
        </w:tc>
      </w:tr>
    </w:tbl>
    <w:p>
      <w:pPr/>
      <w:r>
        <w:t/>
      </w:r>
    </w:p>
    <w:p>
      <w:pPr>
        <w:spacing w:after="140"/>
      </w:pPr>
      <w:r>
        <w:rPr>
          <w:b/>
        </w:rPr>
        <w:t xml:space="preserve">The lowest level is the most-used value of the three, and 77 of 113 labels use it at least once.</w:t>
      </w:r>
    </w:p>
    <w:p>
      <w:pPr>
        <w:spacing w:after="140"/>
      </w:pPr>
      <w:r>
        <w:t xml:space="preserve">This matters in the direction that helps the paper: the draft states a limitation it does not have, and by doing so it understates the demonstrated range of the instrument. The separations in the condition table are across the full scale, not the top two levels. </w:t>
      </w:r>
      <w:r>
        <w:rPr>
          <w:b/>
        </w:rPr>
        <w:t xml:space="preserve">Delete or rewrite that paragraph rather than carry it into submission.</w:t>
      </w:r>
      <w:r>
        <w:t xml:space="preserve"> If "fail" was a different label in an earlier version of the instrument, say so, but the corpus as stored does exercise all three levels.</w:t>
      </w:r>
    </w:p>
    <w:p>
      <w:pPr>
        <w:pBdr>
          <w:bottom w:val="single" w:sz="6" w:space="1" w:color="AAAAAA"/>
        </w:pBdr>
      </w:pPr>
    </w:p>
    <w:p>
      <w:pPr>
        <w:pStyle w:val="Heading2"/>
        <w:spacing w:after="140"/>
      </w:pPr>
      <w:r>
        <w:t xml:space="preserve">6. Condition table, recomputed at close</w:t>
      </w:r>
    </w:p>
    <w:p>
      <w:pPr>
        <w:spacing w:after="140"/>
      </w:pPr>
      <w:r>
        <w:t xml:space="preserve">Ready n = 14, Gap n = 77. Wilson intervals, Fisher exact two-sided, same as the draft.</w:t>
      </w:r>
    </w:p>
    <w:tbl>
      <w:tblPr>
        <w:tblStyle w:val="TableGrid"/>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872"/>
        <w:gridCol w:w="1872"/>
        <w:gridCol w:w="1872"/>
        <w:gridCol w:w="1872"/>
        <w:gridCol w:w="1872"/>
      </w:tblGrid>
      <w:tr>
        <w:tc>
          <w:tcPr>
            <w:tcW w:w="1872" w:type="dxa"/>
          </w:tcPr>
          <w:p>
            <w:pPr>
              <w:spacing w:after="0"/>
            </w:pPr>
            <w:r>
              <w:t xml:space="preserve">Condition (draft name)</w:t>
            </w:r>
          </w:p>
        </w:tc>
        <w:tc>
          <w:tcPr>
            <w:tcW w:w="1872" w:type="dxa"/>
          </w:tcPr>
          <w:p>
            <w:pPr>
              <w:spacing w:after="0"/>
            </w:pPr>
            <w:r>
              <w:t xml:space="preserve">stored key</w:t>
            </w:r>
          </w:p>
        </w:tc>
        <w:tc>
          <w:tcPr>
            <w:tcW w:w="1872" w:type="dxa"/>
          </w:tcPr>
          <w:p>
            <w:pPr>
              <w:spacing w:after="0"/>
            </w:pPr>
            <w:r>
              <w:t xml:space="preserve">Pass rate, Ready</w:t>
            </w:r>
          </w:p>
        </w:tc>
        <w:tc>
          <w:tcPr>
            <w:tcW w:w="1872" w:type="dxa"/>
          </w:tcPr>
          <w:p>
            <w:pPr>
              <w:spacing w:after="0"/>
            </w:pPr>
            <w:r>
              <w:t xml:space="preserve">Pass rate, Gap</w:t>
            </w:r>
          </w:p>
        </w:tc>
        <w:tc>
          <w:tcPr>
            <w:tcW w:w="1872" w:type="dxa"/>
          </w:tcPr>
          <w:p>
            <w:pPr>
              <w:spacing w:after="0"/>
            </w:pPr>
            <w:r>
              <w:t xml:space="preserve">Fisher</w:t>
            </w:r>
          </w:p>
        </w:tc>
      </w:tr>
      <w:tr>
        <w:tc>
          <w:tcPr>
            <w:tcW w:w="1872" w:type="dxa"/>
          </w:tcPr>
          <w:p>
            <w:pPr>
              <w:spacing w:after="0"/>
            </w:pPr>
            <w:r>
              <w:t xml:space="preserve">Reconstructability</w:t>
            </w:r>
          </w:p>
        </w:tc>
        <w:tc>
          <w:tcPr>
            <w:tcW w:w="1872" w:type="dxa"/>
          </w:tcPr>
          <w:p>
            <w:pPr>
              <w:spacing w:after="0"/>
            </w:pPr>
            <w:r>
              <w:rPr>
                <w:rFonts w:ascii="Consolas" w:hAnsi="Consolas"/>
              </w:rPr>
              <w:t xml:space="preserve">cold_reviewer_clarity</w:t>
            </w:r>
          </w:p>
        </w:tc>
        <w:tc>
          <w:tcPr>
            <w:tcW w:w="1872" w:type="dxa"/>
          </w:tcPr>
          <w:p>
            <w:pPr>
              <w:spacing w:after="0"/>
            </w:pPr>
            <w:r>
              <w:t xml:space="preserve">14 of 14 (100%, 78 to 100)</w:t>
            </w:r>
          </w:p>
        </w:tc>
        <w:tc>
          <w:tcPr>
            <w:tcW w:w="1872" w:type="dxa"/>
          </w:tcPr>
          <w:p>
            <w:pPr>
              <w:spacing w:after="0"/>
            </w:pPr>
            <w:r>
              <w:rPr>
                <w:b/>
              </w:rPr>
              <w:t xml:space="preserve">15 of 77 (19%, 12 to 30)</w:t>
            </w:r>
          </w:p>
        </w:tc>
        <w:tc>
          <w:tcPr>
            <w:tcW w:w="1872" w:type="dxa"/>
          </w:tcPr>
          <w:p>
            <w:pPr>
              <w:spacing w:after="0"/>
            </w:pPr>
            <w:r>
              <w:t xml:space="preserve">7.3e-09</w:t>
            </w:r>
          </w:p>
        </w:tc>
      </w:tr>
      <w:tr>
        <w:tc>
          <w:tcPr>
            <w:tcW w:w="1872" w:type="dxa"/>
          </w:tcPr>
          <w:p>
            <w:pPr>
              <w:spacing w:after="0"/>
            </w:pPr>
            <w:r>
              <w:t xml:space="preserve">Basis identification</w:t>
            </w:r>
          </w:p>
        </w:tc>
        <w:tc>
          <w:tcPr>
            <w:tcW w:w="1872" w:type="dxa"/>
          </w:tcPr>
          <w:p>
            <w:pPr>
              <w:spacing w:after="0"/>
            </w:pPr>
            <w:r>
              <w:rPr>
                <w:rFonts w:ascii="Consolas" w:hAnsi="Consolas"/>
              </w:rPr>
              <w:t xml:space="preserve">basis_identification</w:t>
            </w:r>
          </w:p>
        </w:tc>
        <w:tc>
          <w:tcPr>
            <w:tcW w:w="1872" w:type="dxa"/>
          </w:tcPr>
          <w:p>
            <w:pPr>
              <w:spacing w:after="0"/>
            </w:pPr>
            <w:r>
              <w:t xml:space="preserve">14 of 14 (100%, 78 to 100)</w:t>
            </w:r>
          </w:p>
        </w:tc>
        <w:tc>
          <w:tcPr>
            <w:tcW w:w="1872" w:type="dxa"/>
          </w:tcPr>
          <w:p>
            <w:pPr>
              <w:spacing w:after="0"/>
            </w:pPr>
            <w:r>
              <w:rPr>
                <w:b/>
              </w:rPr>
              <w:t xml:space="preserve">20 of 77 (26%, 17 to 37)</w:t>
            </w:r>
          </w:p>
        </w:tc>
        <w:tc>
          <w:tcPr>
            <w:tcW w:w="1872" w:type="dxa"/>
          </w:tcPr>
          <w:p>
            <w:pPr>
              <w:spacing w:after="0"/>
            </w:pPr>
            <w:r>
              <w:t xml:space="preserve">1.3e-07</w:t>
            </w:r>
          </w:p>
        </w:tc>
      </w:tr>
      <w:tr>
        <w:tc>
          <w:tcPr>
            <w:tcW w:w="1872" w:type="dxa"/>
          </w:tcPr>
          <w:p>
            <w:pPr>
              <w:spacing w:after="0"/>
            </w:pPr>
            <w:r>
              <w:t xml:space="preserve">Chronological integrity</w:t>
            </w:r>
          </w:p>
        </w:tc>
        <w:tc>
          <w:tcPr>
            <w:tcW w:w="1872" w:type="dxa"/>
          </w:tcPr>
          <w:p>
            <w:pPr>
              <w:spacing w:after="0"/>
            </w:pPr>
            <w:r>
              <w:rPr>
                <w:rFonts w:ascii="Consolas" w:hAnsi="Consolas"/>
              </w:rPr>
              <w:t xml:space="preserve">temporal_reconstructability</w:t>
            </w:r>
          </w:p>
        </w:tc>
        <w:tc>
          <w:tcPr>
            <w:tcW w:w="1872" w:type="dxa"/>
          </w:tcPr>
          <w:p>
            <w:pPr>
              <w:spacing w:after="0"/>
            </w:pPr>
            <w:r>
              <w:t xml:space="preserve">14 of 14 (100%, 78 to 100)</w:t>
            </w:r>
          </w:p>
        </w:tc>
        <w:tc>
          <w:tcPr>
            <w:tcW w:w="1872" w:type="dxa"/>
          </w:tcPr>
          <w:p>
            <w:pPr>
              <w:spacing w:after="0"/>
            </w:pPr>
            <w:r>
              <w:rPr>
                <w:b/>
              </w:rPr>
              <w:t xml:space="preserve">10 of 77 (13%, 7 to 22)</w:t>
            </w:r>
          </w:p>
        </w:tc>
        <w:tc>
          <w:tcPr>
            <w:tcW w:w="1872" w:type="dxa"/>
          </w:tcPr>
          <w:p>
            <w:pPr>
              <w:spacing w:after="0"/>
            </w:pPr>
            <w:r>
              <w:t xml:space="preserve">1.8e-10</w:t>
            </w:r>
          </w:p>
        </w:tc>
      </w:tr>
      <w:tr>
        <w:tc>
          <w:tcPr>
            <w:tcW w:w="1872" w:type="dxa"/>
          </w:tcPr>
          <w:p>
            <w:pPr>
              <w:spacing w:after="0"/>
            </w:pPr>
            <w:r>
              <w:t xml:space="preserve">Decision-process traceability</w:t>
            </w:r>
          </w:p>
        </w:tc>
        <w:tc>
          <w:tcPr>
            <w:tcW w:w="1872" w:type="dxa"/>
          </w:tcPr>
          <w:p>
            <w:pPr>
              <w:spacing w:after="0"/>
            </w:pPr>
            <w:r>
              <w:rPr>
                <w:rFonts w:ascii="Consolas" w:hAnsi="Consolas"/>
              </w:rPr>
              <w:t xml:space="preserve">reasoning_traceability</w:t>
            </w:r>
          </w:p>
        </w:tc>
        <w:tc>
          <w:tcPr>
            <w:tcW w:w="1872" w:type="dxa"/>
          </w:tcPr>
          <w:p>
            <w:pPr>
              <w:spacing w:after="0"/>
            </w:pPr>
            <w:r>
              <w:t xml:space="preserve">14 of 14 (100%, 78 to 100)</w:t>
            </w:r>
          </w:p>
        </w:tc>
        <w:tc>
          <w:tcPr>
            <w:tcW w:w="1872" w:type="dxa"/>
          </w:tcPr>
          <w:p>
            <w:pPr>
              <w:spacing w:after="0"/>
            </w:pPr>
            <w:r>
              <w:rPr>
                <w:b/>
              </w:rPr>
              <w:t xml:space="preserve">10 of 77 (13%, 7 to 22)</w:t>
            </w:r>
          </w:p>
        </w:tc>
        <w:tc>
          <w:tcPr>
            <w:tcW w:w="1872" w:type="dxa"/>
          </w:tcPr>
          <w:p>
            <w:pPr>
              <w:spacing w:after="0"/>
            </w:pPr>
            <w:r>
              <w:t xml:space="preserve">1.8e-10</w:t>
            </w:r>
          </w:p>
        </w:tc>
      </w:tr>
      <w:tr>
        <w:tc>
          <w:tcPr>
            <w:tcW w:w="1872" w:type="dxa"/>
          </w:tcPr>
          <w:p>
            <w:pPr>
              <w:spacing w:after="0"/>
            </w:pPr>
            <w:r>
              <w:t xml:space="preserve">Evidentiary sufficiency</w:t>
            </w:r>
          </w:p>
        </w:tc>
        <w:tc>
          <w:tcPr>
            <w:tcW w:w="1872" w:type="dxa"/>
          </w:tcPr>
          <w:p>
            <w:pPr>
              <w:spacing w:after="0"/>
            </w:pPr>
            <w:r>
              <w:rPr>
                <w:rFonts w:ascii="Consolas" w:hAnsi="Consolas"/>
              </w:rPr>
              <w:t xml:space="preserve">accountability_support</w:t>
            </w:r>
          </w:p>
        </w:tc>
        <w:tc>
          <w:tcPr>
            <w:tcW w:w="1872" w:type="dxa"/>
          </w:tcPr>
          <w:p>
            <w:pPr>
              <w:spacing w:after="0"/>
            </w:pPr>
            <w:r>
              <w:t xml:space="preserve">14 of 14 (100%, 78 to 100)</w:t>
            </w:r>
          </w:p>
        </w:tc>
        <w:tc>
          <w:tcPr>
            <w:tcW w:w="1872" w:type="dxa"/>
          </w:tcPr>
          <w:p>
            <w:pPr>
              <w:spacing w:after="0"/>
            </w:pPr>
            <w:r>
              <w:rPr>
                <w:b/>
              </w:rPr>
              <w:t xml:space="preserve">7 of 77 (9%, 4 to 18)</w:t>
            </w:r>
          </w:p>
        </w:tc>
        <w:tc>
          <w:tcPr>
            <w:tcW w:w="1872" w:type="dxa"/>
          </w:tcPr>
          <w:p>
            <w:pPr>
              <w:spacing w:after="0"/>
            </w:pPr>
            <w:r>
              <w:t xml:space="preserve">1.1e-11</w:t>
            </w:r>
          </w:p>
        </w:tc>
      </w:tr>
    </w:tbl>
    <w:p>
      <w:pPr/>
      <w:r>
        <w:t/>
      </w:r>
    </w:p>
    <w:p>
      <w:pPr>
        <w:spacing w:after="140"/>
      </w:pPr>
      <w:r>
        <w:t xml:space="preserve">All five still separate at p &lt; 1.5e-07. The conclusion in the draft holds; only the Gap denominator and three cell counts move.</w:t>
      </w:r>
    </w:p>
    <w:p>
      <w:pPr>
        <w:pBdr>
          <w:bottom w:val="single" w:sz="6" w:space="1" w:color="AAAAAA"/>
        </w:pBdr>
      </w:pPr>
    </w:p>
    <w:p>
      <w:pPr>
        <w:pStyle w:val="Heading2"/>
        <w:spacing w:after="140"/>
      </w:pPr>
      <w:r>
        <w:t xml:space="preserve">7. Suggested replacement for the status line</w:t>
      </w:r>
    </w:p>
    <w:p>
      <w:pPr>
        <w:spacing w:after="140"/>
      </w:pPr>
      <w:r>
        <w:t xml:space="preserve">&gt; </w:t>
      </w:r>
      <w:r>
        <w:rPr>
          <w:b/>
        </w:rPr>
        <w:t xml:space="preserve">Status: FINAL. Data locked 2026-08-15.</w:t>
      </w:r>
      <w:r>
        <w:t xml:space="preserve"> All figures are computed from the study database as of the lock date. The eleven invited panel reviewers who had not started as of 6 August 2026 did not start before the close, so the completer count, country count and continent count are unchanged from the pre-close draft. This manuscript reports Study 011, the detection study, and nothing else.</w:t>
      </w:r>
    </w:p>
    <w:p>
      <w:pPr>
        <w:pBdr>
          <w:bottom w:val="single" w:sz="6" w:space="1" w:color="AAAAAA"/>
        </w:pBdr>
      </w:pPr>
    </w:p>
    <w:p>
      <w:pPr>
        <w:pStyle w:val="Heading2"/>
        <w:spacing w:after="140"/>
      </w:pPr>
      <w:r>
        <w:t xml:space="preserve">8. Checklist before submission</w:t>
      </w:r>
    </w:p>
    <w:p>
      <w:pPr>
        <w:numPr>
          <w:ilvl w:val="0"/>
          <w:numId w:val="1"/>
        </w:numPr>
        <w:spacing w:after="60"/>
      </w:pPr>
      <w:r>
        <w:t xml:space="preserve">[ ] Re-run the accuracy pass (service-role) and confirm 83.9%, 72.7 to 95.1, 87.0%, 80.7%.</w:t>
      </w:r>
    </w:p>
    <w:p>
      <w:pPr>
        <w:numPr>
          <w:ilvl w:val="0"/>
          <w:numId w:val="1"/>
        </w:numPr>
        <w:spacing w:after="60"/>
      </w:pPr>
      <w:r>
        <w:t xml:space="preserve">[ ] Replace cross-vendor 84% / 2026-07-06 with </w:t>
      </w:r>
      <w:r>
        <w:rPr>
          <w:b/>
        </w:rPr>
        <w:t xml:space="preserve">87.8% / 2026-08-12</w:t>
      </w:r>
      <w:r>
        <w:t xml:space="preserve">, and the band 78 to 87 with the observed </w:t>
      </w:r>
      <w:r>
        <w:rPr>
          <w:b/>
        </w:rPr>
        <w:t xml:space="preserve">66.7 to 93.3 across 55 runs</w:t>
      </w:r>
      <w:r>
        <w:t xml:space="preserve">.</w:t>
      </w:r>
    </w:p>
    <w:p>
      <w:pPr>
        <w:numPr>
          <w:ilvl w:val="0"/>
          <w:numId w:val="1"/>
        </w:numPr>
        <w:spacing w:after="60"/>
      </w:pPr>
      <w:r>
        <w:t xml:space="preserve">[ ] Update reliability counts 108 to </w:t>
      </w:r>
      <w:r>
        <w:rPr>
          <w:b/>
        </w:rPr>
        <w:t xml:space="preserve">113</w:t>
      </w:r>
      <w:r>
        <w:t xml:space="preserve"> submitted, 99 to </w:t>
      </w:r>
      <w:r>
        <w:rPr>
          <w:b/>
        </w:rPr>
        <w:t xml:space="preserve">104</w:t>
      </w:r>
      <w:r>
        <w:t xml:space="preserve"> retained; trained-reviewer labels 63 to </w:t>
      </w:r>
      <w:r>
        <w:rPr>
          <w:b/>
        </w:rPr>
        <w:t xml:space="preserve">68</w:t>
      </w:r>
      <w:r>
        <w:t xml:space="preserve">.</w:t>
      </w:r>
    </w:p>
    <w:p>
      <w:pPr>
        <w:numPr>
          <w:ilvl w:val="0"/>
          <w:numId w:val="1"/>
        </w:numPr>
        <w:spacing w:after="60"/>
      </w:pPr>
      <w:r>
        <w:t xml:space="preserve">[ ] Update the condition table Gap denominator 75 to </w:t>
      </w:r>
      <w:r>
        <w:rPr>
          <w:b/>
        </w:rPr>
        <w:t xml:space="preserve">77</w:t>
      </w:r>
      <w:r>
        <w:t xml:space="preserve"> and the three changed cells.</w:t>
      </w:r>
    </w:p>
    <w:p>
      <w:pPr>
        <w:numPr>
          <w:ilvl w:val="0"/>
          <w:numId w:val="1"/>
        </w:numPr>
        <w:spacing w:after="60"/>
      </w:pPr>
      <w:r>
        <w:t xml:space="preserve">[ ] Delete or rewrite the "no rater used fail" paragraph.</w:t>
      </w:r>
    </w:p>
    <w:p>
      <w:pPr>
        <w:numPr>
          <w:ilvl w:val="0"/>
          <w:numId w:val="1"/>
        </w:numPr>
        <w:spacing w:after="60"/>
      </w:pPr>
      <w:r>
        <w:t xml:space="preserve">[ ] State the reliability inclusion rule (</w:t>
      </w:r>
      <w:r>
        <w:rPr>
          <w:rFonts w:ascii="Consolas" w:hAnsi="Consolas"/>
        </w:rPr>
        <w:t xml:space="preserve">mode = jrs</w:t>
      </w:r>
      <w:r>
        <w:t xml:space="preserve">, one label per rater per record) in the methods.</w:t>
      </w:r>
    </w:p>
    <w:p>
      <w:pPr>
        <w:numPr>
          <w:ilvl w:val="0"/>
          <w:numId w:val="1"/>
        </w:numPr>
        <w:spacing w:after="60"/>
      </w:pPr>
      <w:r>
        <w:t xml:space="preserve">[ ] Replace the status line.</w:t>
      </w:r>
    </w:p>
    <w:sectPr>
      <w:pgSz w:w="12240" w:h="15840"/>
      <w:pgMar w:top="1440" w:right="1440" w:bottom="1440" w:left="1440"/>
    </w:sectPr>
  </w:body>
</w:document>
</file>

<file path=word/numbering.xml><?xml version="1.0" encoding="utf-8"?>
<w:numbering xmlns:w="http://schemas.openxmlformats.org/wordprocessingml/2006/main">
  <w:abstractNum w:abstractNumId="0">
    <w:lvl w:ilvl="0">
      <w:numFmt w:val="bullet"/>
      <w:lvlText w:val="•"/>
      <w:pPr>
        <w:ind w:left="720" w:hanging="360"/>
      </w:pPr>
    </w:lvl>
  </w:abstractNum>
  <w:abstractNum w:abstractNumId="1">
    <w:lvl w:ilvl="0">
      <w:start w:val="1"/>
      <w:numFmt w:val="decimal"/>
      <w:lvlText w:val="%1."/>
      <w:pPr>
        <w:ind w:left="720" w:hanging="360"/>
      </w:pPr>
    </w:lvl>
  </w:abstractNum>
  <w:num w:numId="1">
    <w:abstractNumId w:val="0"/>
  </w:num>
  <w:num w:numId="2">
    <w:abstractNumId w:val="1"/>
  </w:num>
</w:numbering>
</file>

<file path=word/styles.xml><?xml version="1.0" encoding="utf-8"?>
<w:styles xmlns:w="http://schemas.openxmlformats.org/wordprocessingml/2006/main">
  <w:docDefaults>
    <w:rPrDefault>
      <w:rPr>
        <w:rFonts w:ascii="Times New Roman" w:hAnsi="Times New Roman"/>
        <w:sz w:val="24"/>
      </w:rPr>
    </w:rPrDefault>
  </w:docDefaults>
  <w:style w:type="paragraph" w:styleId="Normal" w:default="1">
    <w:name w:val="Normal"/>
  </w:style>
  <w:style w:type="paragraph" w:styleId="Heading1">
    <w:name w:val="heading 1"/>
    <w:basedOn w:val="Normal"/>
    <w:pPr>
      <w:outlineLvl w:val="0"/>
      <w:spacing w:before="240" w:after="120"/>
    </w:pPr>
    <w:rPr>
      <w:b/>
      <w:sz w:val="36"/>
    </w:rPr>
  </w:style>
  <w:style w:type="paragraph" w:styleId="Heading2">
    <w:name w:val="heading 2"/>
    <w:basedOn w:val="Normal"/>
    <w:pPr>
      <w:outlineLvl w:val="1"/>
      <w:spacing w:before="220" w:after="110"/>
    </w:pPr>
    <w:rPr>
      <w:b/>
      <w:sz w:val="28"/>
    </w:rPr>
  </w:style>
  <w:style w:type="paragraph" w:styleId="Heading3">
    <w:name w:val="heading 3"/>
    <w:basedOn w:val="Normal"/>
    <w:pPr>
      <w:outlineLvl w:val="2"/>
      <w:spacing w:before="200" w:after="100"/>
    </w:pPr>
    <w:rPr>
      <w:b/>
      <w:sz w:val="26"/>
    </w:rPr>
  </w:style>
  <w:style w:type="paragraph" w:styleId="Heading4">
    <w:name w:val="heading 4"/>
    <w:basedOn w:val="Normal"/>
    <w:pPr>
      <w:outlineLvl w:val="3"/>
    </w:pPr>
    <w:rPr>
      <w:b/>
      <w:i/>
    </w:rPr>
  </w:style>
  <w:style w:type="table" w:styleId="TableGrid">
    <w:name w:val="Table Grid"/>
  </w:style>
</w:styles>
</file>

<file path=word/_rels/document.xml.rels><?xml version="1.0" encoding="UTF-8" standalone="yes"?><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Relationships>
</file>