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Detectability of Decision Reconstruction Risk in AI-Generated Decision Records: An International Expert Study</w:t>
      </w:r>
    </w:p>
    <w:p>
      <w:pPr>
        <w:spacing w:after="140"/>
      </w:pPr>
      <w:r>
        <w:rPr>
          <w:b/>
        </w:rPr>
        <w:t xml:space="preserve">Competing interests.</w:t>
      </w:r>
      <w:r>
        <w:t xml:space="preserve"> Declared in full under Statements and Declarations.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t xml:space="preserve">Generative AI increasingly drafts high-stakes corporate, administrative, and investigative records. Fluent text can read as complete and well supported while the evidentiary basis for its conclusions is absent from the record itself, and a record whose conclusion cannot be reconstructed from the record alone cannot be independently examined, contested, or defended. We name this property Decision Reconstruction Risk (DRR) and define it relative to a stated reviewer standpoint. A measurement programme must first settle whether, given an operational definition, independent domain experts can distinguish records that satisfy it from records that do not. A balanced corpus of 24 constructed, de-identified, AI-generated records (12 grounded, 12 unsupported) was judged against a pre-specified reference classification, fixed before verification and independently reproduced by automated raters without access to it. Reviewers worked blind to that classification and to one another. Analysis followed a plan registered before the data were examined. Sixteen reviewers across 11 countries completed the corpus, producing 384 graded reads. Mean reviewer-level accuracy was 83.9 percent (95 percent CI 72.7 to 95.1, n = 16), sensitivity 87.0 percent, specificity 80.7 percent, clearing the pre-registered threshold. Reviewer-level accuracy ranged from 37.5 to 100 percent (SD 21.0), reported as a finding rather than as noise. The study establishes that an operationalised documentation-risk construct is detectable by independent experts on constructed records at the ends of the severity range. It does not establish criterion validity, measurement invariance, workflow independence, psychometric validation of the five conditions, or any advantage over unaided expert judgment.</w:t>
      </w:r>
    </w:p>
    <w:p>
      <w:pPr>
        <w:spacing w:after="140"/>
      </w:pPr>
      <w:r>
        <w:rPr>
          <w:b/>
        </w:rPr>
        <w:t xml:space="preserve">Keywords.</w:t>
      </w:r>
      <w:r>
        <w:t xml:space="preserve"> Artificial intelligence; AI governance; decision reconstruction; accountability; documentation; contestability</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[26]. Datasheets document a dataset's provenance and composition [16]. Internal audit frameworks trace an organisation's development lifecycle [29]. Risk management frameworks specify functions an organisation should perform [19, 28]. Regulatory regimes require logging, technical documentation, and human oversight for high-risk systems [31].</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[11]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[7, 32]</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[29]</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[31]</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[16]</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[1, 22]</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[9, 10]</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[11]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[5, 21].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[7]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conditions under which the failure may be produced and detected,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[1] and Kaminski and Urban [22]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[9]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[6]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a pilot reviewer and is credited on the title page with their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[30, 34].</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[3, 4],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Panel members who have not recorded a naming election are counted in every figure and are not named, and the accuracy figures reported here include their judgments.</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[17] as the primary chance-corrected coefficient, chosen in advance for robustness to the kappa paradox under skewed marginals [8, 14], with Krippendorff's alpha [23] and Fleiss' kappa [15]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Mean reviewer-level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[24].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 panel was composed of credentialed practitioners and researchers recruited for expertise in AI governance, compliance, audit, human resources, investigations, data privacy, records, or law. Because participants self-selected into the study and the sample was not probability-based, performance among less experienced reviewers or reviewers outside these professional domains remains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Statements and Declarations</w:t>
      </w:r>
    </w:p>
    <w:p>
      <w:pPr>
        <w:spacing w:after="140"/>
      </w:pPr>
      <w:r>
        <w:rPr>
          <w:b/>
        </w:rPr>
        <w:t xml:space="preserve">Funding.</w:t>
      </w:r>
      <w:r>
        <w:t xml:space="preserve"> No external funding was received. No participant was compensated.</w:t>
      </w:r>
    </w:p>
    <w:p>
      <w:pPr>
        <w:spacing w:after="140"/>
      </w:pPr>
      <w:r>
        <w:rPr>
          <w:b/>
        </w:rPr>
        <w:t xml:space="preserve">Competing interests.</w:t>
      </w:r>
      <w:r>
        <w:t xml:space="preserve"> 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programme has commercial activity associated with it; no commercial arrangement is contingent on any result reported here, and no participant had any financial interest in the outcome. Section 9 states the mitigations that were applied and the investigator dependence that remains after them.</w:t>
      </w:r>
    </w:p>
    <w:p>
      <w:pPr>
        <w:spacing w:after="140"/>
      </w:pPr>
      <w:r>
        <w:rPr>
          <w:b/>
        </w:rPr>
        <w:t xml:space="preserve">Ethics approval.</w:t>
      </w:r>
      <w:r>
        <w:t xml:space="preserve"> This study was not reviewed by an institutional review board. It was conducted outside any institution holding an IRB, by an independent researcher, with adult professional volunteers making judgments about wholly synthetic documents. No approval or exemption was sought or granted. The absence of formal review is declared rather than glossed, and independent ethical review would be sought for any successor study involving real records or real case outcomes. Section 4.8 states the safeguards that were applied instead.</w:t>
      </w:r>
    </w:p>
    <w:p>
      <w:pPr>
        <w:spacing w:after="140"/>
      </w:pPr>
      <w:r>
        <w:rPr>
          <w:b/>
        </w:rPr>
        <w:t xml:space="preserve">Consent to participate.</w:t>
      </w:r>
      <w:r>
        <w:t xml:space="preserve"> Participation was voluntary, uncompensated, and in a personal capacity, and could be withdrawn at any time before publication. Participants were informed in advance that the reference classification and the corpus composition would not be disclosed during review, because disclosure would compromise the blinded detection task.</w:t>
      </w:r>
    </w:p>
    <w:p>
      <w:pPr>
        <w:spacing w:after="140"/>
      </w:pPr>
      <w:r>
        <w:rPr>
          <w:b/>
        </w:rPr>
        <w:t xml:space="preserve">Consent to publish.</w:t>
      </w:r>
      <w:r>
        <w:t xml:space="preserve"> Attribution is opt-in. Contributors are named only with their consent, may participate anonymously, and may withdraw their name at any time.</w:t>
      </w:r>
    </w:p>
    <w:p>
      <w:pPr>
        <w:spacing w:after="140"/>
      </w:pPr>
      <w:r>
        <w:rPr>
          <w:b/>
        </w:rPr>
        <w:t xml:space="preserve">Availability of data and materials.</w:t>
      </w:r>
      <w:r>
        <w:t xml:space="preserve"> The protocol and analysis plan were registered before data collection. The following materials are </w:t>
      </w:r>
      <w:r>
        <w:rPr>
          <w:b/>
        </w:rPr>
        <w:t xml:space="preserve">available from the authors on request</w:t>
      </w:r>
      <w:r>
        <w:t xml:space="preserve">: the 24 constructed records;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de-identified; and the analysis scripts that produce every figure in this paper. No material is deposited in a public repository, so no persistent identifier is available. Requests are answered by the corresponding author. A record-level corpus construction log containing complete generation provenance was not retained, so model and version, generation date, prompt, and extent of human editing cannot be independently reconstructed for each record from the retained study materials. Live participation is tracked on an aggregate dashboard showing counts only, never individual answers.</w:t>
      </w:r>
    </w:p>
    <w:p>
      <w:pPr>
        <w:spacing w:after="140"/>
      </w:pPr>
      <w:r>
        <w:rPr>
          <w:b/>
        </w:rPr>
        <w:t xml:space="preserve">Code availability.</w:t>
      </w:r>
      <w:r>
        <w:t xml:space="preserve"> The analysis scripts that produce every figure in this paper are available from the authors on request, on the same terms as the data. They use only the Python standard library and require no network access. They are not deposited in a public repository, so no persistent identifier is available.</w:t>
      </w:r>
    </w:p>
    <w:p>
      <w:pPr>
        <w:spacing w:after="140"/>
      </w:pPr>
      <w:r>
        <w:rPr>
          <w:b/>
        </w:rPr>
        <w:t xml:space="preserve">Authors'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Use of artificial intelligence.</w:t>
      </w:r>
      <w:r>
        <w:t xml:space="preserve"> AI use in this research is methodological and is described where it occurs, not summarised here: the corpus was generated with large-language-model assistance and edited by the first author (Section 4.3), the reference classification was independently reproduced by three automated raters (Section 4.4), and cross-vendor model consistency is reported in Appendix A. No AI system is an author. The limits of that use are stated with it, including that the automated raters were briefed by the authors, that agreement among models is not accuracy, and that per-pass execution records were not retained.</w:t>
      </w:r>
    </w:p>
    <w:p>
      <w:pPr>
        <w:spacing w:after="140"/>
      </w:pPr>
      <w:r>
        <w:rPr>
          <w:b/>
        </w:rPr>
        <w:t xml:space="preserve">Pre-registration.</w:t>
      </w:r>
      <w:r>
        <w:t xml:space="preserve"> The protocol and analysis plan were registered before data collection. Data closed 15 August 2026.</w:t>
      </w:r>
    </w:p>
    <w:p>
      <w:pPr>
        <w:pStyle w:val="Heading2"/>
        <w:spacing w:after="140"/>
      </w:pPr>
      <w:r>
        <w:t xml:space="preserve">References</w:t>
      </w:r>
    </w:p>
    <w:p>
      <w:pPr>
        <w:numPr>
          <w:ilvl w:val="0"/>
          <w:numId w:val="3"/>
        </w:numPr>
        <w:spacing w:after="6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numPr>
          <w:ilvl w:val="0"/>
          <w:numId w:val="4"/>
        </w:numPr>
        <w:spacing w:after="6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numPr>
          <w:ilvl w:val="0"/>
          <w:numId w:val="5"/>
        </w:numPr>
        <w:spacing w:after="60"/>
      </w:pPr>
      <w:r>
        <w:t xml:space="preserve">Barr, D.J., Levy, R., Scheepers, C., Tily, H.J., 2013. Random effects structure for confirmatory hypothesis testing: keep it maximal. </w:t>
      </w:r>
      <w:r>
        <w:rPr>
          <w:i/>
        </w:rPr>
        <w:t xml:space="preserve">Journal of Memory and Language</w:t>
      </w:r>
      <w:r>
        <w:t xml:space="preserve"> 68 (3), 255-278.</w:t>
      </w:r>
    </w:p>
    <w:p>
      <w:pPr>
        <w:numPr>
          <w:ilvl w:val="0"/>
          <w:numId w:val="6"/>
        </w:numPr>
        <w:spacing w:after="60"/>
      </w:pPr>
      <w:r>
        <w:t xml:space="preserve">Bates, D., Mächler, M., Bolker, B., Walker, S., 2015. Fitting linear mixed-effects models using lme4. </w:t>
      </w:r>
      <w:r>
        <w:rPr>
          <w:i/>
        </w:rPr>
        <w:t xml:space="preserve">Journal of Statistical Software</w:t>
      </w:r>
      <w:r>
        <w:t xml:space="preserve"> 67 (1), 1-48.</w:t>
      </w:r>
    </w:p>
    <w:p>
      <w:pPr>
        <w:numPr>
          <w:ilvl w:val="0"/>
          <w:numId w:val="7"/>
        </w:numPr>
        <w:spacing w:after="6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numPr>
          <w:ilvl w:val="0"/>
          <w:numId w:val="8"/>
        </w:numPr>
        <w:spacing w:after="60"/>
      </w:pPr>
      <w:r>
        <w:t xml:space="preserve">Bovens, M., 2007. Analysing and assessing accountability: a conceptual framework. </w:t>
      </w:r>
      <w:r>
        <w:rPr>
          <w:i/>
        </w:rPr>
        <w:t xml:space="preserve">European Law Journal</w:t>
      </w:r>
      <w:r>
        <w:t xml:space="preserve"> 13 (4), 447-468.</w:t>
      </w:r>
    </w:p>
    <w:p>
      <w:pPr>
        <w:numPr>
          <w:ilvl w:val="0"/>
          <w:numId w:val="9"/>
        </w:numPr>
        <w:spacing w:after="60"/>
      </w:pPr>
      <w:r>
        <w:t xml:space="preserve">Burrell, J., 2016. How the machine 'thinks': understanding opacity in machine learning algorithms. </w:t>
      </w:r>
      <w:r>
        <w:rPr>
          <w:i/>
        </w:rPr>
        <w:t xml:space="preserve">Big Data &amp; Society</w:t>
      </w:r>
      <w:r>
        <w:t xml:space="preserve"> 3 (1), 1-12.</w:t>
      </w:r>
    </w:p>
    <w:p>
      <w:pPr>
        <w:numPr>
          <w:ilvl w:val="0"/>
          <w:numId w:val="10"/>
        </w:numPr>
        <w:spacing w:after="60"/>
      </w:pPr>
      <w:r>
        <w:t xml:space="preserve">Byrt, T., Bishop, J., Carlin, J.B., 1993. Bias, prevalence and kappa. </w:t>
      </w:r>
      <w:r>
        <w:rPr>
          <w:i/>
        </w:rPr>
        <w:t xml:space="preserve">Journal of Clinical Epidemiology</w:t>
      </w:r>
      <w:r>
        <w:t xml:space="preserve"> 46 (5), 423-429.</w:t>
      </w:r>
    </w:p>
    <w:p>
      <w:pPr>
        <w:numPr>
          <w:ilvl w:val="0"/>
          <w:numId w:val="11"/>
        </w:numPr>
        <w:spacing w:after="60"/>
      </w:pPr>
      <w:r>
        <w:t xml:space="preserve">Citron, D.K., 2008. Technological due process. </w:t>
      </w:r>
      <w:r>
        <w:rPr>
          <w:i/>
        </w:rPr>
        <w:t xml:space="preserve">Washington University Law Review</w:t>
      </w:r>
      <w:r>
        <w:t xml:space="preserve"> 85 (6), 1249-1313.</w:t>
      </w:r>
    </w:p>
    <w:p>
      <w:pPr>
        <w:numPr>
          <w:ilvl w:val="0"/>
          <w:numId w:val="12"/>
        </w:numPr>
        <w:spacing w:after="60"/>
      </w:pPr>
      <w:r>
        <w:t xml:space="preserve">Citron, D.K., Pasquale, F., 2014. The scored society: due process for automated predictions. </w:t>
      </w:r>
      <w:r>
        <w:rPr>
          <w:i/>
        </w:rPr>
        <w:t xml:space="preserve">Washington Law Review</w:t>
      </w:r>
      <w:r>
        <w:t xml:space="preserve"> 89 (1), 1-33.</w:t>
      </w:r>
    </w:p>
    <w:p>
      <w:pPr>
        <w:numPr>
          <w:ilvl w:val="0"/>
          <w:numId w:val="13"/>
        </w:numPr>
        <w:spacing w:after="6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numPr>
          <w:ilvl w:val="0"/>
          <w:numId w:val="14"/>
        </w:numPr>
        <w:spacing w:after="60"/>
      </w:pPr>
      <w:r>
        <w:t xml:space="preserve">Cohen, J., 1960. A coefficient of agreement for nominal scales. </w:t>
      </w:r>
      <w:r>
        <w:rPr>
          <w:i/>
        </w:rPr>
        <w:t xml:space="preserve">Educational and Psychological Measurement</w:t>
      </w:r>
      <w:r>
        <w:t xml:space="preserve"> 20 (1), 37-46.</w:t>
      </w:r>
    </w:p>
    <w:p>
      <w:pPr>
        <w:numPr>
          <w:ilvl w:val="0"/>
          <w:numId w:val="15"/>
        </w:numPr>
        <w:spacing w:after="60"/>
      </w:pPr>
      <w:r>
        <w:t xml:space="preserve">Cronbach, L.J., Meehl, P.E., 1955. Construct validity in psychological tests. </w:t>
      </w:r>
      <w:r>
        <w:rPr>
          <w:i/>
        </w:rPr>
        <w:t xml:space="preserve">Psychological Bulletin</w:t>
      </w:r>
      <w:r>
        <w:t xml:space="preserve"> 52 (4), 281-302.</w:t>
      </w:r>
    </w:p>
    <w:p>
      <w:pPr>
        <w:numPr>
          <w:ilvl w:val="0"/>
          <w:numId w:val="16"/>
        </w:numPr>
        <w:spacing w:after="60"/>
      </w:pPr>
      <w:r>
        <w:t xml:space="preserve">Feinstein, A.R., Cicchetti, D.V., 1990. High agreement but low kappa: I. The problems of two paradoxes. </w:t>
      </w:r>
      <w:r>
        <w:rPr>
          <w:i/>
        </w:rPr>
        <w:t xml:space="preserve">Journal of Clinical Epidemiology</w:t>
      </w:r>
      <w:r>
        <w:t xml:space="preserve"> 43 (6), 543-549.</w:t>
      </w:r>
    </w:p>
    <w:p>
      <w:pPr>
        <w:numPr>
          <w:ilvl w:val="0"/>
          <w:numId w:val="17"/>
        </w:numPr>
        <w:spacing w:after="60"/>
      </w:pPr>
      <w:r>
        <w:t xml:space="preserve">Fleiss, J.L., 1971. Measuring nominal scale agreement among many raters. </w:t>
      </w:r>
      <w:r>
        <w:rPr>
          <w:i/>
        </w:rPr>
        <w:t xml:space="preserve">Psychological Bulletin</w:t>
      </w:r>
      <w:r>
        <w:t xml:space="preserve"> 76 (5), 378-382.</w:t>
      </w:r>
    </w:p>
    <w:p>
      <w:pPr>
        <w:numPr>
          <w:ilvl w:val="0"/>
          <w:numId w:val="18"/>
        </w:numPr>
        <w:spacing w:after="60"/>
      </w:pPr>
      <w:r>
        <w:t xml:space="preserve">Gebru, T., Morgenstern, J., Vecchione, B., Vaughan, J.W., Wallach, H., Daumé III, H., Crawford, K., 2021. Datasheets for datasets. </w:t>
      </w:r>
      <w:r>
        <w:rPr>
          <w:i/>
        </w:rPr>
        <w:t xml:space="preserve">Communications of the ACM</w:t>
      </w:r>
      <w:r>
        <w:t xml:space="preserve"> 64 (12), 86-92.</w:t>
      </w:r>
    </w:p>
    <w:p>
      <w:pPr>
        <w:numPr>
          <w:ilvl w:val="0"/>
          <w:numId w:val="19"/>
        </w:numPr>
        <w:spacing w:after="6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numPr>
          <w:ilvl w:val="0"/>
          <w:numId w:val="20"/>
        </w:numPr>
        <w:spacing w:after="60"/>
      </w:pPr>
      <w:r>
        <w:t xml:space="preserve">Gwet, K.L., 2014. </w:t>
      </w:r>
      <w:r>
        <w:rPr>
          <w:i/>
        </w:rPr>
        <w:t xml:space="preserve">Handbook of Inter-Rater Reliability</w:t>
      </w:r>
      <w:r>
        <w:t xml:space="preserve">, fourth ed. Advanced Analytics, Gaithersburg, MD.</w:t>
      </w:r>
    </w:p>
    <w:p>
      <w:pPr>
        <w:numPr>
          <w:ilvl w:val="0"/>
          <w:numId w:val="21"/>
        </w:numPr>
        <w:spacing w:after="60"/>
      </w:pPr>
      <w:r>
        <w:t xml:space="preserve">ISO/IEC, 2023. </w:t>
      </w:r>
      <w:r>
        <w:rPr>
          <w:i/>
        </w:rPr>
        <w:t xml:space="preserve">ISO/IEC 42001:2023 Information technology - Artificial intelligence - Management system</w:t>
      </w:r>
      <w:r>
        <w:t xml:space="preserve">. International Organization for Standardization, Geneva.</w:t>
      </w:r>
    </w:p>
    <w:p>
      <w:pPr>
        <w:numPr>
          <w:ilvl w:val="0"/>
          <w:numId w:val="22"/>
        </w:numPr>
        <w:spacing w:after="60"/>
      </w:pPr>
      <w:r>
        <w:t xml:space="preserve">Jacobs, A.Z., Wallach, H., 2021. Measurement and fairness. In: </w:t>
      </w:r>
      <w:r>
        <w:rPr>
          <w:i/>
        </w:rPr>
        <w:t xml:space="preserve">Proceedings of the 2021 ACM Conference on Fairness, Accountability, and Transparency (FAccT '21)</w:t>
      </w:r>
      <w:r>
        <w:t xml:space="preserve">. ACM, pp. 375-385.</w:t>
      </w:r>
    </w:p>
    <w:p>
      <w:pPr>
        <w:numPr>
          <w:ilvl w:val="0"/>
          <w:numId w:val="23"/>
        </w:numPr>
        <w:spacing w:after="60"/>
      </w:pPr>
      <w:r>
        <w:t xml:space="preserve">Ji, Z., Lee, N., Frieske, R., Yu, T., Su, D., Xu, Y., Ishii, E., Bang, Y.J., Madotto, A., Fung, P., 2023. Survey of hallucination in natural language generation. </w:t>
      </w:r>
      <w:r>
        <w:rPr>
          <w:i/>
        </w:rPr>
        <w:t xml:space="preserve">ACM Computing Surveys</w:t>
      </w:r>
      <w:r>
        <w:t xml:space="preserve"> 55 (12), 1-38.</w:t>
      </w:r>
    </w:p>
    <w:p>
      <w:pPr>
        <w:numPr>
          <w:ilvl w:val="0"/>
          <w:numId w:val="24"/>
        </w:numPr>
        <w:spacing w:after="60"/>
      </w:pPr>
      <w:r>
        <w:t xml:space="preserve">Kaminski, M.E., Urban, J.M., 2021. The right to contest AI. </w:t>
      </w:r>
      <w:r>
        <w:rPr>
          <w:i/>
        </w:rPr>
        <w:t xml:space="preserve">Columbia Law Review</w:t>
      </w:r>
      <w:r>
        <w:t xml:space="preserve"> 121 (7), 1957-2048.</w:t>
      </w:r>
    </w:p>
    <w:p>
      <w:pPr>
        <w:numPr>
          <w:ilvl w:val="0"/>
          <w:numId w:val="25"/>
        </w:numPr>
        <w:spacing w:after="60"/>
      </w:pPr>
      <w:r>
        <w:t xml:space="preserve">Krippendorff, K., 2004. </w:t>
      </w:r>
      <w:r>
        <w:rPr>
          <w:i/>
        </w:rPr>
        <w:t xml:space="preserve">Content Analysis: An Introduction to Its Methodology</w:t>
      </w:r>
      <w:r>
        <w:t xml:space="preserve">, second ed. Sage, Thousand Oaks, CA.</w:t>
      </w:r>
    </w:p>
    <w:p>
      <w:pPr>
        <w:numPr>
          <w:ilvl w:val="0"/>
          <w:numId w:val="26"/>
        </w:numPr>
        <w:spacing w:after="60"/>
      </w:pPr>
      <w:r>
        <w:t xml:space="preserve">Landis, J.R., Koch, G.G., 1977. The measurement of observer agreement for categorical data. </w:t>
      </w:r>
      <w:r>
        <w:rPr>
          <w:i/>
        </w:rPr>
        <w:t xml:space="preserve">Biometrics</w:t>
      </w:r>
      <w:r>
        <w:t xml:space="preserve"> 33 (1), 159-174.</w:t>
      </w:r>
    </w:p>
    <w:p>
      <w:pPr>
        <w:numPr>
          <w:ilvl w:val="0"/>
          <w:numId w:val="27"/>
        </w:numPr>
        <w:spacing w:after="6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numPr>
          <w:ilvl w:val="0"/>
          <w:numId w:val="28"/>
        </w:numPr>
        <w:spacing w:after="6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numPr>
          <w:ilvl w:val="0"/>
          <w:numId w:val="29"/>
        </w:numPr>
        <w:spacing w:after="60"/>
      </w:pPr>
      <w:r>
        <w:t xml:space="preserve">Mittelstadt, B.D., Allo, P., Taddeo, M., Wachter, S., Floridi, L., 2016. The ethics of algorithms: mapping the debate. </w:t>
      </w:r>
      <w:r>
        <w:rPr>
          <w:i/>
        </w:rPr>
        <w:t xml:space="preserve">Big Data &amp; Society</w:t>
      </w:r>
      <w:r>
        <w:t xml:space="preserve"> 3 (2), 1-21.</w:t>
      </w:r>
    </w:p>
    <w:p>
      <w:pPr>
        <w:numPr>
          <w:ilvl w:val="0"/>
          <w:numId w:val="30"/>
        </w:numPr>
        <w:spacing w:after="60"/>
      </w:pPr>
      <w:r>
        <w:t xml:space="preserve">NIST, 2023. </w:t>
      </w:r>
      <w:r>
        <w:rPr>
          <w:i/>
        </w:rPr>
        <w:t xml:space="preserve">Artificial Intelligence Risk Management Framework (AI RMF 1.0)</w:t>
      </w:r>
      <w:r>
        <w:t xml:space="preserve">, NIST AI 100-1. National Institute of Standards and Technology, Gaithersburg, MD.</w:t>
      </w:r>
    </w:p>
    <w:p>
      <w:pPr>
        <w:numPr>
          <w:ilvl w:val="0"/>
          <w:numId w:val="31"/>
        </w:numPr>
        <w:spacing w:after="6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numPr>
          <w:ilvl w:val="0"/>
          <w:numId w:val="32"/>
        </w:numPr>
        <w:spacing w:after="60"/>
      </w:pPr>
      <w:r>
        <w:t xml:space="preserve">Ransohoff, D.F., Feinstein, A.R., 1978. Problems of spectrum and bias in evaluating the efficacy of diagnostic tests. </w:t>
      </w:r>
      <w:r>
        <w:rPr>
          <w:i/>
        </w:rPr>
        <w:t xml:space="preserve">New England Journal of Medicine</w:t>
      </w:r>
      <w:r>
        <w:t xml:space="preserve"> 299 (17), 926-930.</w:t>
      </w:r>
    </w:p>
    <w:p>
      <w:pPr>
        <w:numPr>
          <w:ilvl w:val="0"/>
          <w:numId w:val="33"/>
        </w:numPr>
        <w:spacing w:after="6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numPr>
          <w:ilvl w:val="0"/>
          <w:numId w:val="34"/>
        </w:numPr>
        <w:spacing w:after="60"/>
      </w:pPr>
      <w:r>
        <w:t xml:space="preserve">Selbst, A.D., Barocas, S., 2018. The intuitive appeal of explainable machines. </w:t>
      </w:r>
      <w:r>
        <w:rPr>
          <w:i/>
        </w:rPr>
        <w:t xml:space="preserve">Fordham Law Review</w:t>
      </w:r>
      <w:r>
        <w:t xml:space="preserve"> 87 (3), 1085-1139.</w:t>
      </w:r>
    </w:p>
    <w:p>
      <w:pPr>
        <w:numPr>
          <w:ilvl w:val="0"/>
          <w:numId w:val="35"/>
        </w:numPr>
        <w:spacing w:after="6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numPr>
          <w:ilvl w:val="0"/>
          <w:numId w:val="36"/>
        </w:numPr>
        <w:spacing w:after="6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numPr>
          <w:ilvl w:val="0"/>
          <w:numId w:val="37"/>
        </w:numPr>
        <w:spacing w:after="6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[35],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[3, 4]:</w:t>
      </w:r>
    </w:p>
    <w:p>
      <w:pPr>
        <w:spacing w:after="140"/>
      </w:pPr>
      <w:r>
        <w:rPr>
          <w:rFonts w:ascii="Consolas" w:hAnsi="Consolas"/>
        </w:rPr>
        <w:t xml:space="preserve">`</w:t>
      </w:r>
      <w:r>
        <w:t xml:space="preserve"> correct ~ 1 + (1 | reviewer) + (1 | record) </w:t>
      </w: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is available from the authors on request rather than printed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