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spacing w:after="140"/>
      </w:pPr>
      <w:r>
        <w:t xml:space="preserve">Cover letter</w:t>
      </w:r>
    </w:p>
    <w:p>
      <w:pPr>
        <w:spacing w:after="140"/>
      </w:pPr>
      <w:r>
        <w:t xml:space="preserve">To the Editors, </w:t>
      </w:r>
      <w:r>
        <w:rPr>
          <w:i/>
        </w:rPr>
        <w:t xml:space="preserve">AI and Ethics</w:t>
      </w:r>
    </w:p>
    <w:p>
      <w:pPr>
        <w:spacing w:after="140"/>
      </w:pPr>
      <w:r>
        <w:t xml:space="preserve">We submit </w:t>
      </w:r>
      <w:r>
        <w:rPr>
          <w:b/>
        </w:rPr>
        <w:t xml:space="preserve">"Detectability of Decision Reconstruction Risk in AI-Generated Decision Records: An International Expert Study"</w:t>
      </w:r>
      <w:r>
        <w:t xml:space="preserve"> for consideration as an original research article.</w:t>
      </w:r>
    </w:p>
    <w:p>
      <w:pPr>
        <w:spacing w:after="140"/>
      </w:pPr>
      <w:r>
        <w:rPr>
          <w:b/>
        </w:rPr>
        <w:t xml:space="preserve">What the paper examines.</w:t>
      </w:r>
      <w:r>
        <w:t xml:space="preserve"> AI governance has concentrated on models, systems and processes. This paper takes as its object the consequential documentary artefact that AI-assisted decision-making leaves behind, and asks whether independent domain experts can detect when that record does or does not carry a reconstructable evidentiary basis. We name the property Decision Reconstruction Risk and define it relative to a stated reviewer standpoint.</w:t>
      </w:r>
    </w:p>
    <w:p>
      <w:pPr>
        <w:spacing w:after="140"/>
      </w:pPr>
      <w:r>
        <w:rPr>
          <w:b/>
        </w:rPr>
        <w:t xml:space="preserve">The empirical contribution.</w:t>
      </w:r>
      <w:r>
        <w:t xml:space="preserve"> Sixteen credentialed experts across eleven countries each read a balanced 24-record corpus cold, blind to a pre-specified reference classification and to one another, returning 384 graded judgments. Mean reviewer-level accuracy was 83.9 percent (95 percent CI 72.7 to 95.1, n = 16), clearing a threshold registered before data collection. Reviewer-level accuracy ranged from 37.5 to 100 percent, and a pre-registered reliability criterion was not met. Both are reported as findings rather than as noise, because group-level detectability does not license individual-level reliance.</w:t>
      </w:r>
    </w:p>
    <w:p>
      <w:pPr>
        <w:spacing w:after="140"/>
      </w:pPr>
      <w:r>
        <w:rPr>
          <w:b/>
        </w:rPr>
        <w:t xml:space="preserve">What the paper does not claim.</w:t>
      </w:r>
      <w:r>
        <w:t xml:space="preserve"> It does not establish criterion validity against real documentation, measurement invariance across jurisdictions, workflow independence, psychometric validation of the five review conditions, or any advantage of the instrument over unaided expert judgment. It does not validate the review standard. The claim is detectability, and the paper states where its evidence stops.</w:t>
      </w:r>
    </w:p>
    <w:p>
      <w:pPr>
        <w:spacing w:after="140"/>
      </w:pPr>
      <w:r>
        <w:rPr>
          <w:b/>
        </w:rPr>
        <w:t xml:space="preserve">Why this journal.</w:t>
      </w:r>
      <w:r>
        <w:t xml:space="preserve"> The contribution is an accountability question rather than a model-performance one: whether a property that contestability and institutional defensibility depend on can be measured at all in AI-assisted records. That places it in the journal's scope on transparency, accountability and human oversight.</w:t>
      </w:r>
    </w:p>
    <w:p>
      <w:pPr>
        <w:spacing w:after="140"/>
      </w:pPr>
      <w:r>
        <w:rPr>
          <w:b/>
        </w:rPr>
        <w:t xml:space="preserve">Declarations.</w:t>
      </w:r>
      <w:r>
        <w:t xml:space="preserve"> The manuscript is original, is not under consideration elsewhere, and has not been published in whole or in part. AI use in this research is methodological and is disclosed in the manuscript: the corpus was generated with large-language-model assistance and edited by an author, the reference classification was independently reproduced by three automated raters, and cross-vendor consistency is reported in an appendix. The limits of that use are stated with it. No AI system is an author. The first author created the construct and instrument under study; that competing interest, and what the design does and does not mitigate, is disclosed in full.</w:t>
      </w:r>
    </w:p>
    <w:p>
      <w:pPr>
        <w:spacing w:after="140"/>
      </w:pPr>
      <w:r>
        <w:rPr>
          <w:b/>
        </w:rPr>
        <w:t xml:space="preserve">Anonymisation.</w:t>
      </w:r>
      <w:r>
        <w:t xml:space="preserve"> The manuscript has been anonymised for double-blind review. Author names, affiliations, the named contributor roster and the acknowledgements are on the separate title page.</w:t>
      </w:r>
    </w:p>
    <w:p>
      <w:pPr>
        <w:spacing w:after="140"/>
      </w:pPr>
      <w:r>
        <w:t xml:space="preserve">We would be glad to supply the corpus, the reference classification, the reviewer instructions and the analysis scripts to reviewers on request.</w:t>
      </w:r>
    </w:p>
    <w:sectPr>
      <w:pgSz w:w="12240" w:h="15840"/>
      <w:pgMar w:top="1440" w:right="1440" w:bottom="1440" w:left="1440"/>
    </w:sectPr>
  </w:body>
</w:document>
</file>

<file path=word/numbering.xml><?xml version="1.0" encoding="utf-8"?>
<w:numbering xmlns:w="http://schemas.openxmlformats.org/wordprocessingml/2006/main" xmlns:r="http://schemas.openxmlformats.org/officeDocument/2006/relationships">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w:style w:type="character" w:styleId="Hyperlink">
    <w:name w:val="Hyperlink"/>
    <w:rPr>
      <w:color w:val="0563C1"/>
      <w:u w:val="single"/>
    </w:rPr>
  </w:style>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