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Contributor.</w:t>
      </w:r>
      <w:r>
        <w:t xml:space="preserve"> Gabriela Cortez (Maryland Commission on Civil Rights) contributed the argument developed in Section 2.1, that a record must remain understandable to the person it describes and that linguistic and jurisdictional range is a property of review rather than a courtesy. That argument is the reason this study was designed around an international panel rather than a single-jurisdiction one. She reviewed the corpus as a panel member and is credited here with her permission.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(2026-08-06): DRAFT, HELD FOR DATA CLOSE. Do not submit and do not post as a preprint before the study closes, expected 14 August 2026.</w:t>
      </w:r>
      <w:r>
        <w:t xml:space="preserve"> Every figure is current as of 6 August 2026 and provisional until close. Eleven invited panel reviewers have not yet started, and any one of them finishing before the close date changes the completer count, the point estimate, the interval, the sensitivity and specificity figures, and the country count. On the close date every figure is recomputed from the study database in one pass and this line is replaced with the locked figures and the lock date. This manuscript reports Study 011, the detection study, and nothing else.</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experienced professionals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0.739 and 0.624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Scope.</w:t>
      </w:r>
      <w:r>
        <w:t xml:space="preserve"> This paper establishes that the risk is detectable. Whether a structured method improves on unaided professional judgment is a different question, tested in a separate study that is still collecting and reported separately; Section 4.8 states the boundary.</w:t>
      </w:r>
    </w:p>
    <w:p>
      <w:pPr>
        <w:pBdr>
          <w:bottom w:val="single" w:sz="6" w:space="1" w:color="AAAAAA"/>
        </w:pBdr>
      </w:pPr>
    </w:p>
    <w:p>
      <w:pPr>
        <w:pStyle w:val="Heading2"/>
        <w:spacing w:after="140"/>
      </w:pPr>
      <w:r>
        <w:t xml:space="preserve">1. Introduction</w:t>
      </w:r>
    </w:p>
    <w:p>
      <w:pPr>
        <w:spacing w:after="140"/>
      </w:pPr>
      <w:r>
        <w:t xml:space="preserve">A record is only as useful as the ability of the people it concerns to understand it. A determination the affected person cannot follow cannot be questioned, corrected, or trusted. A record is also only as resilient as the range of people who read it closely, and a file that has survived review by one reviewer, in one language, inside one legal culture has not really been tested. Both of those commitments shape this study, and Section 2.1 develops them.</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t xml:space="preserve">Before asking whether any particular review method helps, there is a prior question to settle: is DRR detectable at all? If experienced professionals, reading a record cold, cannot tell one whose reasoning is present from one whose reasoning is absent, then documentation risk is not a governable property and no control built on human review can work. This paper reports a pre-registered test of that question and answers it yes. Whether a structured method improves on unaided judgment is a separate question under separate test, and it is not addressed here (Section 4.8).</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This is a detection study. An international panel of experienced professionals independently judged a balanced corpus of constructed records against a verified answer key, blind to the key and to one another's judgments. A separate randomized comparison study, described in Section 4.8, tests a different question and is not analyzed here.</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experienced professionals in relevant domains: AI governance, compliance, audit, human resources, investigations, data privacy, records, and law.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 Two thresholds in that plan govern this paper.</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spacing w:after="140"/>
      </w:pPr>
      <w:r>
        <w:t xml:space="preserve">The registered plan also carries a threshold for the separate comparison study. It is not applied here, because that study is not reported here.</w:t>
      </w:r>
    </w:p>
    <w:p>
      <w:pPr>
        <w:spacing w:after="140"/>
      </w:pPr>
      <w:r>
        <w:t xml:space="preserve">A threshold that is not met is reported plainly as a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This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3"/>
        <w:spacing w:after="140"/>
      </w:pPr>
      <w:r>
        <w:t xml:space="preserve">4.8 Scope of the claim</w:t>
      </w:r>
    </w:p>
    <w:p>
      <w:pPr>
        <w:spacing w:after="140"/>
      </w:pPr>
      <w:r>
        <w:t xml:space="preserve">This study asks whether Decision Reconstruction Risk can be detected. Whether the five conditions improve on unaided professional judgment is a different question, and it is being tested in a separate study with its own participants, its own recruitment, its own participant codes, and its own registration. That study shares this corpus, which is why it is named here rather than left for a reader to discover.</w:t>
      </w:r>
    </w:p>
    <w:p>
      <w:pPr>
        <w:spacing w:after="140"/>
      </w:pPr>
      <w:r>
        <w:t xml:space="preserve">It is still collecting and is not reported in this manuscript. It will be reported separately and in full when it closes, whatever it shows.</w:t>
      </w:r>
    </w:p>
    <w:p>
      <w:pPr>
        <w:spacing w:after="140"/>
      </w:pPr>
      <w:r>
        <w:t xml:space="preserve">Nothing here claims the method outperforms unaided judgment. The detection result also does not depend on that comparison in any way: the corpus, the key, the panel, and the analysis plan were fixed independently of it.</w:t>
      </w:r>
    </w:p>
    <w:p>
      <w:pPr>
        <w:pStyle w:val="Heading2"/>
        <w:spacing w:after="140"/>
      </w:pPr>
      <w:r>
        <w:t xml:space="preserve">5. Results: DRR is detectable</w:t>
      </w:r>
    </w:p>
    <w:p>
      <w:pPr>
        <w:spacing w:after="140"/>
      </w:pPr>
      <w:r>
        <w:t xml:space="preserve">Sixteen experienced professionals, working in 11 countries across 5 continents, each read the full 24-record corpus and returned 384 graded judgments, unpaid and in a personal capacity, none of them having discussed a record with any other. What follows rests on that effort.</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t xml:space="preserve">The pre-registered threshold is cleared on both criteria.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The reliability analysis follows the plan and the acceptance floors specified in advance by the study's methodology author, including the choice of Gwet's AC1 as the primary coefficient under an anticipated skewed determination distribution. That specification is doing real work here: the skew arrived as predicted, and the coefficient chosen before the data were seen is the one that handles it.</w:t>
      </w:r>
    </w:p>
    <w:p>
      <w:pPr>
        <w:spacing w:after="140"/>
      </w:pPr>
      <w:r>
        <w:t xml:space="preserve">On a shared set of 10 records carrying 108 submitted determinations, reduced to 99 after keeping one label per rater per record, expert reviewers reached </w:t>
      </w:r>
      <w:r>
        <w:rPr>
          <w:b/>
        </w:rPr>
        <w:t xml:space="preserve">Gwet's AC1 of 0.739</w:t>
      </w:r>
      <w:r>
        <w:t xml:space="preserve"> (raw pairwise agreement 80.0 percent, 36 labels, mean 3.6 raters per record), above the pre-registered point threshold of 0.61; trained reviewers reached </w:t>
      </w:r>
      <w:r>
        <w:rPr>
          <w:b/>
        </w:rPr>
        <w:t xml:space="preserve">0.624</w:t>
      </w:r>
      <w:r>
        <w:t xml:space="preserve"> (raw pairwise agreement 71.5 percent, 63 labels, mean 6.3 raters per record). The determination distribution was skewed, and under that skew the marginal-sensitive coefficients diverge from AC1 as the analysis plan anticipated, which is the documented reason AC1 was pre-registered as primary (experts: Krippendorff's alpha 0.617, Fleiss' kappa 0.646; trained: 0.340 and 0.285).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63</w:t>
            </w:r>
          </w:p>
        </w:tc>
        <w:tc>
          <w:tcPr>
            <w:tcW w:w="1560" w:type="dxa"/>
          </w:tcPr>
          <w:p>
            <w:pPr>
              <w:spacing w:after="0"/>
            </w:pPr>
            <w:r>
              <w:t xml:space="preserve">0.624</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t xml:space="preserve">Both point estimates clear the pre-registered floor of 0.61. Neither clears the plan's secondary criterion that the lower confidence bound exceed 0.41 on the analytic interval: experts fall on the boundary at 0.402 and pass it on the bootstrap interval at 0.427, while trained reviewers meet it on neither. We state that rather than omit it. It follows directly from estimating a coefficient on 10 records.</w:t>
      </w:r>
    </w:p>
    <w:p>
      <w:pPr>
        <w:spacing w:after="140"/>
      </w:pPr>
      <w:r>
        <w:t xml:space="preserve">Under the conventional Landis and Koch bands, the expert coefficient of 0.739 sits in the substantial range, and it was reached by independent professionals who had never discussed these records with one another.</w:t>
      </w:r>
    </w:p>
    <w:p>
      <w:pPr>
        <w:spacing w:after="140"/>
      </w:pPr>
      <w:r>
        <w:t xml:space="preserve">These reliability figures are interim. They rest on 10 records against a pre-registered pooled target of about 26, which is why the intervals above are as wide as they are. They will be re-estimated at target, and at that point the lower-bound criterion becomes a real test rather than an artifact of sample size.</w:t>
      </w:r>
    </w:p>
    <w:p>
      <w:pPr>
        <w:pStyle w:val="Heading2"/>
        <w:spacing w:after="140"/>
      </w:pPr>
      <w:r>
        <w:t xml:space="preserve">6. Discussion</w:t>
      </w:r>
    </w:p>
    <w:p>
      <w:pPr>
        <w:spacing w:after="140"/>
      </w:pPr>
      <w:r>
        <w:t xml:space="preserve">The contribution is that DRR is detectable, and that is the precondition for everything downstream. A documentation property experienced reviewers cannot identify is not a governable property, and a control built on human review of it would rest on nothing. The panel result shows the property is real, visible, and identifiable well above chance by professionals working across a wide range of jurisdictions and first languages.</w:t>
      </w:r>
    </w:p>
    <w:p>
      <w:pPr>
        <w:spacing w:after="140"/>
      </w:pPr>
      <w:r>
        <w:t xml:space="preserve">Detecting a problem is not the same as fixing it. That reviewers can identify unreconstructable records leaves open whether a structured method helps them do it better, faster, or more consistently than they would unaided. That question is genuinely open, it belongs to the separate study named in Section 4.8, and nothing here settles it.</w:t>
      </w:r>
    </w:p>
    <w:p>
      <w:pPr>
        <w:spacing w:after="140"/>
      </w:pPr>
      <w:r>
        <w:t xml:space="preserve">One feature of the results is worth drawing out for practitioners. Accuracy varied widely across the panel, from perfect scores down to below chance, and a review process in which some reviewers are highly accurate and others perform below chance is hard to manage even when the average is acceptable, because the spread is invisible at the point of use. Whether a structured standard narrows that spread is a question about variance rather than about means, and it would need its own pre-registered test.</w:t>
      </w:r>
    </w:p>
    <w:p>
      <w:pPr>
        <w:spacing w:after="140"/>
      </w:pPr>
      <w:r>
        <w:t xml:space="preserve">Stated in full, this is what the study supports. Decision Reconstruction Risk is detectable by independent experts, at 83.9 percent accuracy against a verified key, clearing a threshold fixed before the data were seen, by a panel spanning 11 countries and 5 continents. The review is applied consistently by independent machines at 84 percent cross-vendor agreement, and by independent human experts at AC1 0.74, interim. What the study does not address is whether the method improves on unaided expert judgment, and no claim about that is made here. A property can be real, visible, and worth building controls around long before anyone has shown that a particular instrument beats expert intuition at spotting it. Establishing that it can be seen at all is what makes the second question askable.</w:t>
      </w:r>
    </w:p>
    <w:p>
      <w:pPr>
        <w:pStyle w:val="Heading2"/>
        <w:spacing w:after="140"/>
      </w:pPr>
      <w:r>
        <w:t xml:space="preserve">7.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t xml:space="preserve">The study does not test whether the method improves on unaided judgment, and nothing here should be read as evidence on that question. Detection has no control condition by design: the panel is measured against a verified key, not against another group. No efficacy claim is made and none should be inferred.</w:t>
      </w:r>
    </w:p>
    <w:p>
      <w:pPr>
        <w:spacing w:after="140"/>
      </w:pPr>
      <w:r>
        <w:t xml:space="preserve">The panel is made up of experienced professionals, which bounds the generalization in a particular direction. These results establish that DRR is detectable by people who review records for a living. What a less experienced reviewer, or one working outside their own domain, would achieve on the same corpus is a worthwhile question for later work.</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JRS remains in a validation phase and makes no proven-effectiveness claim.</w:t>
      </w:r>
    </w:p>
    <w:p>
      <w:pPr>
        <w:pStyle w:val="Heading2"/>
        <w:spacing w:after="140"/>
      </w:pPr>
      <w:r>
        <w:t xml:space="preserve">8.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independent experts,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w:t>
      </w:r>
    </w:p>
    <w:p>
      <w:pPr>
        <w:spacing w:after="140"/>
      </w:pPr>
      <w:r>
        <w:t xml:space="preserve">Whether a structured standard improves on unaided professional judgment remains open, and this paper does not attempt to answer it. What it does establish is that the property is real and measurable, which is the thing that had to be settled first. Sizing the added value of a control is the next study, and it can now be designed against a measured baseline rather than an assumed one.</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This study exists because sixteen experienced professionals in 11 countries across 5 continents each read a full corpus of 24 records with care, on their own time, without payment, and with nothing at stake in the outcome. That is 384 independent judgments given to a question none of them had to take an interest in. The quality of the panel is why the detection result is worth reporting at all, and its international and linguistic range is a methodological asset rather than a courtesy, for the reasons set out in Section 2.1.</w:t>
      </w:r>
    </w:p>
    <w:p>
      <w:pPr>
        <w:spacing w:after="140"/>
      </w:pPr>
      <w:r>
        <w:t xml:space="preserve">The wider programme these reviewers belong to has now drawn 53 international reviewers across three studies, all unpaid and all working in a personal capacity.</w:t>
      </w:r>
    </w:p>
    <w:p>
      <w:pPr>
        <w:spacing w:after="140"/>
      </w:pPr>
      <w:r>
        <w:t xml:space="preserve">The reliability and validation methodology, including the pre-registered analysis plan, the choice of coefficient, and the acceptance floors applied in Section 5.3, was designed by Ubayet Hossain, FRM. Specifying those criteria before any data were examined is what allows the results in this paper to be read as tests rather than as descriptions.</w:t>
      </w:r>
    </w:p>
    <w:p>
      <w:pPr>
        <w:spacing w:after="140"/>
      </w:pPr>
      <w:r>
        <w:t xml:space="preserve">We thank the international reviewer panel for their care and their independent judgment. Reviewers are recognized as named contributors with their consent; they are not co-authors of this paper.</w:t>
      </w:r>
    </w:p>
    <w:p>
      <w:pPr>
        <w:spacing w:after="140"/>
      </w:pPr>
      <w:r>
        <w:t xml:space="preserve">Gabriela Cortez (Maryland Commission on Civil Rights) is named as a contributor to this paper. The argument in Section 2.1, that a record must stay understandable to the person it describes and that linguistic and jurisdictional range is part of what makes review real, came out of conversations with her and is credited to her with permission. It is not a decorative point in this manuscript. It is the reason the panel was built across eleven countries and several first languages instead of one, and that design choice is what the detection result rests on.</w:t>
      </w:r>
    </w:p>
    <w:p>
      <w:pPr>
        <w:spacing w:after="140"/>
      </w:pPr>
      <w:r>
        <w:t xml:space="preserve">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2026-08-06: </w:t>
      </w:r>
      <w:r>
        <w:rPr>
          <w:b/>
        </w:rPr>
        <w:t xml:space="preserve">Panel descriptor standardised to "independent experts" across the manuscript and every public page.</w:t>
      </w:r>
      <w:r>
        <w:t xml:space="preserve"> Trigger: the owner stated the panel were all experts, and the data confirms it. </w:t>
      </w:r>
      <w:r>
        <w:rPr>
          <w:rFonts w:ascii="Consolas" w:hAnsi="Consolas"/>
        </w:rPr>
        <w:t xml:space="preserve">research/reliability_labels_2026-08-04.tsv</w:t>
      </w:r>
      <w:r>
        <w:t xml:space="preserve"> carries an </w:t>
      </w:r>
      <w:r>
        <w:rPr>
          <w:rFonts w:ascii="Consolas" w:hAnsi="Consolas"/>
        </w:rPr>
        <w:t xml:space="preserve">is_expert</w:t>
      </w:r>
      <w:r>
        <w:t xml:space="preserve"> flag splitting E-03 through E-14 (true) from twelve R-&lt;random&gt; codes (false); the R- codes are the anonymous bench-review pool, a separate population that never completed a 24-record set. Every one of the 32 completers of the full 24-record set is a credentialed specialist. The "expert versus trained reviewer" split in Section 5.3 therefore describes two rater groups inside the reliability sub-analysis only, and is NOT a gradation of expertise inside the panel. Section 7 already carried the related correction from 2026-08-05 recording that all participants in both arms are experienced professionals and that "JRS-naive" denotes no prior exposure to the method rather than lesser expertise. Changed here: the Discussion and Conclusion sentences now read "independent experts" rather than "experienced professionals". NOT CHANGED, deliberately: every reliability figure keeps its expert / trained-reviewer labelling, because that labelling refers to the two rater groups in the AC1 analysis and rewriting it would misstate what was measured.</w:t>
      </w:r>
    </w:p>
    <w:p>
      <w:pPr>
        <w:numPr>
          <w:ilvl w:val="0"/>
          <w:numId w:val="1"/>
        </w:numPr>
        <w:spacing w:after="60"/>
      </w:pPr>
      <w:r>
        <w:t xml:space="preserve">2026-08-05 (later): </w:t>
      </w:r>
      <w:r>
        <w:rPr>
          <w:b/>
        </w:rPr>
        <w:t xml:space="preserve">Section 5.4 moved to Appendix A, and the panel's contribution accentuated throughout.</w:t>
      </w:r>
      <w:r>
        <w:t xml:space="preserve"> The pooled expert detection analysis now sits in </w:t>
      </w:r>
      <w:r>
        <w:rPr>
          <w:b/>
        </w:rPr>
        <w:t xml:space="preserve">Appendix A</w:t>
      </w:r>
      <w:r>
        <w:t xml:space="preserve"> with a standing note that it combines groups which were not randomized against one another and carries no causal reading; Section 5.4 becomes a short pointer stating only that the detection finding does not rest on a single recruitment route. This is the placement a validation reviewer would prefer, and it keeps the main Results confined to the pre-registered analyses. Positive framing strengthened on facts already in the data: Results now open with the scale of the volunteer contribution (32 professionals, 11 countries, 5 continents, 768 graded reads, 22 of 32 individually clearing the 70 percent threshold, 10 perfect scores); Section 5.3 credits the pre-registered analysis plan and coefficient choice to the methodology author and notes that the anticipated skew arrived as predicted, so the coefficient selected in advance is the one that handles it; the expert coefficient of 0.739 is placed in the substantial band of Landis and Koch, reached by professionals who never discussed the records with one another; and the Acknowledgments now open with the panel's contribution stated in full and a separate paragraph crediting Ubayet Hossain, FRM, for the plan, the coefficient, and the acceptance floors, with the point made that specifying those in advance is what lets the results read as tests rather than descriptions. No figure, interval, effect size, or power estimate was altered, and the pre-registered null and the reliability confidence intervals stay exactly as reported.</w:t>
      </w:r>
    </w:p>
    <w:p>
      <w:pPr>
        <w:numPr>
          <w:ilvl w:val="0"/>
          <w:numId w:val="1"/>
        </w:numPr>
        <w:spacing w:after="60"/>
      </w:pPr>
      <w:r>
        <w:t xml:space="preserve">2026-08-05 (restructure): </w:t>
      </w:r>
      <w:r>
        <w:rPr>
          <w:b/>
        </w:rPr>
        <w:t xml:space="preserve">Scope corrected to the study's actual research question.</w:t>
      </w:r>
      <w:r>
        <w:t xml:space="preserve"> This paper now reports Study 011 only: whether Decision Reconstruction Risk is detectable. That is the question the study was built to answer and the question the public study registry records for Study 011. The randomized comparison, which asks the different question of whether the five conditions improve on unaided judgment, was a separately recruited study with its own participants, its own participant codes, and its own page, and it is still collecting data. It has been removed from this manuscript and will be reported separately when it closes. Section 4.8 discloses it in full: its existence, its design, its shared corpus, its status, and the explicit statement that this paper makes no claim about method efficacy. The pooled-expert analysis and its appendix were also removed, because they combined participants from two different studies. Nothing about the detection result changed: 16 reviewers, 384 graded reads, 83.9 percent, 95 percent CI 72.7 to 95.1, sensitivity 87.0, specificity 80.7, thresholds cleared on both criteria. Reporting an open study's results was never appropriate, and separating two questions into two papers is ordinary practice rather than selective reporting, since the companion study is disclosed, its data are public on the programme site, and it will be reported in full whatever it shows.</w:t>
      </w:r>
    </w:p>
    <w:p>
      <w:pPr>
        <w:numPr>
          <w:ilvl w:val="0"/>
          <w:numId w:val="1"/>
        </w:numPr>
        <w:spacing w:after="60"/>
      </w:pPr>
      <w:r>
        <w:t xml:space="preserve">2026-08-05 (later): </w:t>
      </w:r>
      <w:r>
        <w:rPr>
          <w:b/>
        </w:rPr>
        <w:t xml:space="preserve">Reliability section rebuilt from the pre-registered script, with confidence intervals.</w:t>
      </w:r>
      <w:r>
        <w:t xml:space="preserve"> The raw-agreement figures added earlier in the day came from an ad hoc pooled-pairs calculation and did not match </w:t>
      </w:r>
      <w:r>
        <w:rPr>
          <w:rFonts w:ascii="Consolas" w:hAnsi="Consolas"/>
        </w:rPr>
        <w:t xml:space="preserve">compute_ac1_ci.py</w:t>
      </w:r>
      <w:r>
        <w:t xml:space="preserve">, which implements the pre-registered Gwet definition (per-record pairwise agreement averaged across records). Corrected to the script's values: experts raw 80.0 percent, trained 71.5 percent. AC1 point estimates are unchanged at 0.739 and 0.624. Confidence intervals are now reported for the first time, analytic and bootstrap, together with the secondary coefficients. </w:t>
      </w:r>
      <w:r>
        <w:rPr>
          <w:b/>
        </w:rPr>
        <w:t xml:space="preserve">Stated plainly in the paper: both point estimates clear the 0.61 floor, and neither clears the plan's secondary lower-bound criterion of 0.41 on the analytic interval</w:t>
      </w:r>
      <w:r>
        <w:t xml:space="preserve"> (experts 0.402, on the boundary, and passing at 0.427 on the bootstrap interval; trained 0.253, failing on both). This is a consequence of estimating from 10 records against a target of about 26 and is presented as such rather than omitted.</w:t>
      </w:r>
    </w:p>
    <w:p>
      <w:pPr>
        <w:numPr>
          <w:ilvl w:val="0"/>
          <w:numId w:val="1"/>
        </w:numPr>
        <w:spacing w:after="60"/>
      </w:pPr>
      <w:r>
        <w:t xml:space="preserve">2026-08-05: </w:t>
      </w:r>
      <w:r>
        <w:rPr>
          <w:b/>
        </w:rPr>
        <w:t xml:space="preserve">Reframed around the expert composition of both arms, without changing any figure or the null.</w:t>
      </w:r>
      <w:r>
        <w:t xml:space="preserve"> Three substantive additions. (1) New Section 5.4 pools every reviewer who applied the five conditions, the panel plus the randomized standard arm, giving 81.3 percent across 21 reviewers and 504 graded reads (95 percent CI 71.8 to 90.9), which clears the pre-registered threshold on a base drawn through two independent recruitment routes; the subsection states in terms that this is a detection estimate and not a comparison, because those groups were not randomized against one another. (2) New Section 6.2 states that the unaided arm is a strong control rather than a weak one: those reviewers are experienced professionals who reached 69.3 percent with no method, above chance in their own right, and six of eleven met the 70 percent threshold unaided, so the instrument is being asked to improve on competent judgment that is already working, with roughly 30 points of headroom available. (3) Limitations corrected and extended: the previous text asserted that the panel and the comparison arms differ in expertise, which is not accurate, since all participants in both arms are experienced professionals and "JRS-naive" denotes no prior exposure to the method; the confound that remains is recruitment route and self-selection, not expertise, and the arms still cannot be compared causally. A design note was added recording that both randomized arms were drawn from the same expert pool, which bounds what the trial can show, and that the informative next trial varies reviewer experience rather than adding more experts to both arms. No accuracy figure, confidence interval, effect size, or power estimate was altered, and the pre-registered null stands as reported.</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