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What the study found</w:t>
      </w:r>
    </w:p>
    <w:p>
      <w:pPr>
        <w:spacing w:after="140"/>
      </w:pPr>
      <w:r>
        <w:rPr>
          <w:b/>
        </w:rPr>
        <w:t xml:space="preserve">The results summary sent to every completer.</w:t>
      </w:r>
      <w:r>
        <w:t xml:space="preserve"> Locked 15 August 2026.</w:t>
      </w:r>
    </w:p>
    <w:p>
      <w:pPr>
        <w:spacing w:after="140"/>
      </w:pPr>
      <w:r>
        <w:rPr>
          <w:b/>
        </w:rPr>
        <w:t xml:space="preserve">Generated by `research/build_results_summary_doc.py` from the live `/api/contributor` response.</w:t>
      </w:r>
      <w:r>
        <w:t xml:space="preserve"> Not retyped. This is the exact text a contributor sees after submitting their confirmation, pulled by posting the same submission their browser posts, using the endpoint's self-test key so no row is written and no counter moves.</w:t>
      </w:r>
    </w:p>
    <w:p>
      <w:pPr>
        <w:spacing w:after="140"/>
      </w:pPr>
      <w:r>
        <w:rPr>
          <w:b/>
        </w:rPr>
        <w:t xml:space="preserve">How a contributor reaches it.</w:t>
      </w:r>
      <w:r>
        <w:t xml:space="preserve"> One unguessable link each. Opening the link shows their name and title on file and nothing else: the summary is returned only after they submit the three forced-choice permissions. A GET on the link carries no results field at all, so forwarding or fetching a link discloses nothing.</w:t>
      </w:r>
    </w:p>
    <w:p>
      <w:pPr>
        <w:pBdr>
          <w:bottom w:val="single" w:sz="6" w:space="1" w:color="AAAAAA"/>
        </w:pBdr>
      </w:pPr>
    </w:p>
    <w:p>
      <w:pPr>
        <w:spacing w:after="140"/>
      </w:pPr>
      <w:r>
        <w:t xml:space="preserve">Both studies closed on 15 August 2026. Every figure below was recomputed from the study database on that date, including the comparison result that did not meet its pre-registered bar.</w:t>
      </w:r>
    </w:p>
    <w:p>
      <w:pPr>
        <w:pStyle w:val="Heading2"/>
        <w:spacing w:after="140"/>
      </w:pPr>
      <w:r>
        <w:t xml:space="preserve">Scale</w:t>
      </w:r>
    </w:p>
    <w:p>
      <w:pPr>
        <w:numPr>
          <w:ilvl w:val="0"/>
          <w:numId w:val="1"/>
        </w:numPr>
        <w:spacing w:after="60"/>
      </w:pPr>
      <w:r>
        <w:t xml:space="preserve">58 independent experts graded records across the three studies. None was paid.</w:t>
      </w:r>
    </w:p>
    <w:p>
      <w:pPr>
        <w:numPr>
          <w:ilvl w:val="0"/>
          <w:numId w:val="1"/>
        </w:numPr>
        <w:spacing w:after="60"/>
      </w:pPr>
      <w:r>
        <w:t xml:space="preserve">36 completed a full 24-record set, across 16 countries and 5 continents.</w:t>
      </w:r>
    </w:p>
    <w:p>
      <w:pPr>
        <w:numPr>
          <w:ilvl w:val="0"/>
          <w:numId w:val="1"/>
        </w:numPr>
        <w:spacing w:after="60"/>
      </w:pPr>
      <w:r>
        <w:t xml:space="preserve">The detection panel below is 16 of those 36, in 11 countries on 5 continents.</w:t>
      </w:r>
    </w:p>
    <w:p>
      <w:pPr>
        <w:pStyle w:val="Heading2"/>
        <w:spacing w:after="140"/>
      </w:pPr>
      <w:r>
        <w:t xml:space="preserve">Findings</w:t>
      </w:r>
    </w:p>
    <w:p>
      <w:pPr>
        <w:pStyle w:val="Heading3"/>
        <w:spacing w:after="140"/>
      </w:pPr>
      <w:r>
        <w:t xml:space="preserve">Detection</w:t>
      </w:r>
    </w:p>
    <w:p>
      <w:pPr>
        <w:spacing w:after="140"/>
      </w:pPr>
      <w:r>
        <w:t xml:space="preserve">83.9 percent accuracy against the verified key (95 percent CI 72.7 to 95.1; 16 reviewers, 384 graded reads; sensitivity 87.0 percent, specificity 80.7 percent). The pre-registered threshold required at least 70 percent with the lower bound above chance. Both criteria met.</w:t>
      </w:r>
    </w:p>
    <w:p>
      <w:pPr>
        <w:pStyle w:val="Heading3"/>
        <w:spacing w:after="140"/>
      </w:pPr>
      <w:r>
        <w:t xml:space="preserve">Spread</w:t>
      </w:r>
    </w:p>
    <w:p>
      <w:pPr>
        <w:spacing w:after="140"/>
      </w:pPr>
      <w:r>
        <w:t xml:space="preserve">Individual accuracy 37.5 to 100 percent, SD 21.0. Six reviewers scored 100 percent. Eleven of 16 identified every unsupported record. The mean conceals a wide range, which matters to anyone staffing a review process.</w:t>
      </w:r>
    </w:p>
    <w:p>
      <w:pPr>
        <w:pStyle w:val="Heading3"/>
        <w:spacing w:after="140"/>
      </w:pPr>
      <w:r>
        <w:t xml:space="preserve">Reliability</w:t>
      </w:r>
    </w:p>
    <w:p>
      <w:pPr>
        <w:spacing w:after="140"/>
      </w:pPr>
      <w:r>
        <w:t xml:space="preserve">Gwet AC1 0.739 experts, 0.623 trained reviewers, on 10 records. Both clear the pre-registered floor of 0.61. Neither clears the secondary criterion that the lower confidence bound exceed 0.41. Interim, against a pooled target of about 26 records.</w:t>
      </w:r>
    </w:p>
    <w:p>
      <w:pPr>
        <w:pStyle w:val="Heading3"/>
        <w:spacing w:after="140"/>
      </w:pPr>
      <w:r>
        <w:t xml:space="preserve">Conditions</w:t>
      </w:r>
    </w:p>
    <w:p>
      <w:pPr>
        <w:spacing w:after="140"/>
      </w:pPr>
      <w:r>
        <w:t xml:space="preserve">All five separate Ready from Gap at p below 1.5e-07. Evidentiary sufficiency is the most often unmet and the strongest discriminator.</w:t>
      </w:r>
    </w:p>
    <w:p>
      <w:pPr>
        <w:pStyle w:val="Heading3"/>
        <w:spacing w:after="140"/>
      </w:pPr>
      <w:r>
        <w:t xml:space="preserve">Machine Consistency</w:t>
      </w:r>
    </w:p>
    <w:p>
      <w:pPr>
        <w:spacing w:after="140"/>
      </w:pPr>
      <w:r>
        <w:t xml:space="preserve">87.2 percent mean pairwise agreement across 41 nightly runs on a fixed 15-record set (95 percent CI 86.2 to 88.2, range 82.2 to 93.3), three models from three vendors. Consistency of application, not correctness.</w:t>
      </w:r>
    </w:p>
    <w:p>
      <w:pPr>
        <w:pStyle w:val="Heading3"/>
        <w:spacing w:after="140"/>
      </w:pPr>
      <w:r>
        <w:t xml:space="preserve">Comparison Study: Pre-Registered Bar Not Met</w:t>
      </w:r>
    </w:p>
    <w:p>
      <w:pPr>
        <w:spacing w:after="140"/>
      </w:pPr>
      <w:r>
        <w:t xml:space="preserve">Five conditions 75.0 percent, general prompt 67.6 percent. Difference 7.4 points, 95 percent CI minus 15.3 to plus 30.0, p = 0.50. The bar required the interval to exclude zero; it does not. Detecting an effect of this size at 80 percent power requires about 205 per arm; this study had 7 and 13. Underpowered by design, reported as a null.</w:t>
      </w:r>
    </w:p>
    <w:p>
      <w:pPr>
        <w:pStyle w:val="Heading3"/>
        <w:spacing w:after="140"/>
      </w:pPr>
      <w:r>
        <w:t xml:space="preserve">Position</w:t>
      </w:r>
    </w:p>
    <w:p>
      <w:pPr>
        <w:spacing w:after="140"/>
      </w:pPr>
      <w:r>
        <w:t xml:space="preserve">Detection is established. Whether the instrument improves on unaided expert judgment is unresolved and now has a measured baseline.</w:t>
      </w:r>
    </w:p>
    <w:p>
      <w:pPr>
        <w:pStyle w:val="Heading2"/>
        <w:spacing w:after="140"/>
      </w:pPr>
      <w:r>
        <w:t xml:space="preserve">What your work supports</w:t>
      </w:r>
    </w:p>
    <w:p>
      <w:pPr>
        <w:numPr>
          <w:ilvl w:val="0"/>
          <w:numId w:val="1"/>
        </w:numPr>
        <w:spacing w:after="60"/>
      </w:pPr>
      <w:r>
        <w:t xml:space="preserve">11 countries, 5 continents, 384 blind judgments, 83.9 percent against a pre-set key.</w:t>
      </w:r>
    </w:p>
    <w:p>
      <w:pPr>
        <w:numPr>
          <w:ilvl w:val="0"/>
          <w:numId w:val="1"/>
        </w:numPr>
        <w:spacing w:after="60"/>
      </w:pPr>
      <w:r>
        <w:t xml:space="preserve">The key was fixed before scoring and independently reproduced 24 of 24 by raters blind to it.</w:t>
      </w:r>
    </w:p>
    <w:p>
      <w:pPr>
        <w:numPr>
          <w:ilvl w:val="0"/>
          <w:numId w:val="1"/>
        </w:numPr>
        <w:spacing w:after="60"/>
      </w:pPr>
      <w:r>
        <w:t xml:space="preserve">Tested across jurisdictions rather than within one.</w:t>
      </w:r>
    </w:p>
    <w:p>
      <w:pPr>
        <w:pBdr>
          <w:bottom w:val="single" w:sz="6" w:space="1" w:color="AAAAAA"/>
        </w:pBdr>
      </w:pPr>
    </w:p>
    <w:p>
      <w:pPr>
        <w:spacing w:after="140"/>
      </w:pPr>
      <w:r>
        <w:t xml:space="preserve">Aggregate only. Individual scores are not included here and are not shared. Ask and yours goes to you privately. The analysis plan, the answer key and its verification packet are available on request.</w:t>
      </w:r>
    </w:p>
    <w:p>
      <w:pPr>
        <w:pBdr>
          <w:bottom w:val="single" w:sz="6" w:space="1" w:color="AAAAAA"/>
        </w:pBdr>
      </w:pPr>
    </w:p>
    <w:p>
      <w:pPr>
        <w:pStyle w:val="Heading2"/>
        <w:spacing w:after="140"/>
      </w:pPr>
      <w:r>
        <w:t xml:space="preserve">Also released on submission</w:t>
      </w:r>
    </w:p>
    <w:p>
      <w:pPr>
        <w:numPr>
          <w:ilvl w:val="0"/>
          <w:numId w:val="1"/>
        </w:numPr>
        <w:spacing w:after="60"/>
      </w:pPr>
      <w:r>
        <w:t xml:space="preserve">Investigator Field Guide, employment: </w:t>
      </w:r>
      <w:r>
        <w:rPr>
          <w:rFonts w:ascii="Consolas" w:hAnsi="Consolas"/>
        </w:rPr>
        <w:t xml:space="preserve">/JRS_Investigator_Field_Guide_Employment.pdf</w:t>
      </w:r>
    </w:p>
    <w:p>
      <w:pPr>
        <w:numPr>
          <w:ilvl w:val="0"/>
          <w:numId w:val="1"/>
        </w:numPr>
        <w:spacing w:after="60"/>
      </w:pPr>
      <w:r>
        <w:t xml:space="preserve">Investigator Field Guide, fairhousing: </w:t>
      </w:r>
      <w:r>
        <w:rPr>
          <w:rFonts w:ascii="Consolas" w:hAnsi="Consolas"/>
        </w:rPr>
        <w:t xml:space="preserve">/JRS_Investigator_Field_Guide_FairHousing.pdf</w:t>
      </w:r>
    </w:p>
    <w:p>
      <w:pPr>
        <w:numPr>
          <w:ilvl w:val="0"/>
          <w:numId w:val="1"/>
        </w:numPr>
        <w:spacing w:after="60"/>
      </w:pPr>
      <w:r>
        <w:t xml:space="preserve">Investigator Field Guide, international: </w:t>
      </w:r>
      <w:r>
        <w:rPr>
          <w:rFonts w:ascii="Consolas" w:hAnsi="Consolas"/>
        </w:rPr>
        <w:t xml:space="preserve">/JRS_Investigator_Field_Guide_International.pdf</w:t>
      </w:r>
    </w:p>
    <w:p>
      <w:pPr>
        <w:numPr>
          <w:ilvl w:val="0"/>
          <w:numId w:val="1"/>
        </w:numPr>
        <w:spacing w:after="60"/>
      </w:pPr>
      <w:r>
        <w:t xml:space="preserve">Training: </w:t>
      </w:r>
      <w:r>
        <w:rPr>
          <w:rFonts w:ascii="Consolas" w:hAnsi="Consolas"/>
        </w:rPr>
        <w:t xml:space="preserve">/training.html?access=reviewer&amp;focus=1</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