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Reply to Stacy Young, 2026-08-08</w:t>
      </w:r>
    </w:p>
    <w:p>
      <w:pPr>
        <w:spacing w:after="140"/>
      </w:pPr>
      <w:r>
        <w:rPr>
          <w:b/>
        </w:rPr>
        <w:t xml:space="preserve">Status: draft for Phillip to send. Not sent.</w:t>
      </w:r>
    </w:p>
    <w:p>
      <w:pPr>
        <w:pBdr>
          <w:bottom w:val="single" w:sz="6" w:space="1" w:color="AAAAAA"/>
        </w:pBdr>
      </w:pPr>
    </w:p>
    <w:p>
      <w:pPr>
        <w:spacing w:after="140"/>
      </w:pPr>
      <w:r>
        <w:t xml:space="preserve">Stacyann,</w:t>
      </w:r>
    </w:p>
    <w:p>
      <w:pPr>
        <w:spacing w:after="140"/>
      </w:pPr>
      <w:r>
        <w:t xml:space="preserve">Everything you asked for is here, and nothing goes out until you say it does.</w:t>
      </w:r>
    </w:p>
    <w:p>
      <w:pPr>
        <w:spacing w:after="140"/>
      </w:pPr>
      <w:r>
        <w:t xml:space="preserve">The two Council drafts are attached, and they are the pieces I want your eye on most, because they carry your name and your job title and they go to people in your field. One is to Dr. Frazier about the FOIA technology inventory, the other is a volunteer note to the Council co-chairs expressing interest in the Technology Committee. Both are written in your voice and both are wrong until you have edited them. Your biography paragraph in each is the part I am least able to get right on your behalf, so please rewrite it rather than correct it.</w:t>
      </w:r>
    </w:p>
    <w:p>
      <w:pPr>
        <w:spacing w:after="140"/>
      </w:pPr>
      <w:r>
        <w:t xml:space="preserve">Neither will be sent to anyone until you have read both and told me they are ready.</w:t>
      </w:r>
    </w:p>
    <w:p>
      <w:pPr>
        <w:spacing w:after="140"/>
      </w:pPr>
      <w:r>
        <w:t xml:space="preserve">The honor materials are attached too, written out in full rather than summarised. That document has the citation word for word, a table showing where every factual claim in it comes from, what the acceptance page asks you, what would become public and what never would, and the five points where you can stop it. A draft certificate in your name is attached so you can see it rather than picture it. If any part of the citation reads as overstated, tell me and it changes. It is not fixed until you say it is.</w:t>
      </w:r>
    </w:p>
    <w:p>
      <w:pPr>
        <w:spacing w:after="140"/>
      </w:pPr>
      <w:r>
        <w:t xml:space="preserve">The acceptance link is </w:t>
      </w:r>
      <w:r>
        <w:rPr>
          <w:rFonts w:ascii="Consolas" w:hAnsi="Consolas"/>
        </w:rPr>
        <w:t xml:space="preserve">jrsstandard.com/honor.html?k=q7m2vd9xk4</w:t>
      </w:r>
      <w:r>
        <w:t xml:space="preserve"> and it will keep working. Use it when you are ready and not before. Ticking the required box on that page sends you the certificate and lets me write to you; it does not publish your name anywhere. Public listing is a separate optional tick, and if you never click it your name stays off every public page.</w:t>
      </w:r>
    </w:p>
    <w:p>
      <w:pPr>
        <w:spacing w:after="140"/>
      </w:pPr>
      <w:r>
        <w:t xml:space="preserve">On the blind re-read, the packet is built and ready to send the moment you name someone. Ten of your 32 cases, chosen by a documented rule rather than by hand: stratified across your three read categories so the set spans the full range, ordered by case id inside each category so the choice is reproducible, and interleaved in the packet so consecutive cases do not share a category. Six span your Ready reads, three your Needs work, one your Gap. The second reader gets the source and the record summary and nothing else. Not your reads, not your notes, not the outcomes, not the distribution. The answer key sits in a separate file that is not sent.</w:t>
      </w:r>
    </w:p>
    <w:p>
      <w:pPr>
        <w:spacing w:after="140"/>
      </w:pPr>
      <w:r>
        <w:t xml:space="preserve">Whoever does it needs about two hours and no background in this project. A colleague who reads FOIL determinations is ideal, someone outside HPD is better still. If nobody has the time, say so and the paper reports the single-reader limitation openly, which is honest but weaker.</w:t>
      </w:r>
    </w:p>
    <w:p>
      <w:pPr>
        <w:spacing w:after="140"/>
      </w:pPr>
      <w:r>
        <w:t xml:space="preserve">Two things worth knowing before you read Sections 4 and 5.</w:t>
      </w:r>
    </w:p>
    <w:p>
      <w:pPr>
        <w:spacing w:after="140"/>
      </w:pPr>
      <w:r>
        <w:t xml:space="preserve">Section 4 describes your collection method, and there is one number in it I want you to check against your own memory rather than against my data pull: 28 of the 32 cases carry a written basis note. That count is what makes Section 5.3 possible, so if it looks wrong to you it needs fixing before anything is submitted.</w:t>
      </w:r>
    </w:p>
    <w:p>
      <w:pPr>
        <w:spacing w:after="140"/>
      </w:pPr>
      <w:r>
        <w:t xml:space="preserve">Section 5.5 reports a null. Your reads showed no relationship to whether the agency won on appeal, p = 1.000, and the paper says so plainly rather than burying it. That is deliberate. Published appellate cases are selected for contested legal questions, not for thin files, so the appellate outcome was never the right test. The audits were, and there the agreement was five out of five. Section 5.6 then shows the same instrument in a second domain, employment matters, where the outcome association does hold. A reviewer who spots the null and finds it addressed head-on trusts the rest of the paper more, not less.</w:t>
      </w:r>
    </w:p>
    <w:p>
      <w:pPr>
        <w:spacing w:after="140"/>
      </w:pPr>
      <w:r>
        <w:t xml:space="preserve">On sequence, so nothing surprises you: you review the manuscript, the two Council drafts, and the honor materials. You send back corrections to any or all of them. I apply them and send them back. You approve each of the three separately, because approving one is not approving the others. Only then does anything get issued, sent, or submitted.</w:t>
      </w:r>
    </w:p>
    <w:p>
      <w:pPr>
        <w:spacing w:after="140"/>
      </w:pPr>
      <w:r>
        <w:t xml:space="preserve">Thank you for the care you are taking with this. The reason the study has a construct-validity result at all is that you wrote down why you read each record the way you did, before you knew how it came out. Most people do not do that, and the paper would have nothing to report if you had not.</w:t>
      </w:r>
    </w:p>
    <w:p>
      <w:pPr>
        <w:spacing w:after="140"/>
      </w:pPr>
      <w:r>
        <w:t xml:space="preserve">Phillip</w:t>
      </w:r>
    </w:p>
    <w:p>
      <w:pPr>
        <w:pBdr>
          <w:bottom w:val="single" w:sz="6" w:space="1" w:color="AAAAAA"/>
        </w:pBdr>
      </w:pPr>
    </w:p>
    <w:p>
      <w:pPr>
        <w:pStyle w:val="Heading2"/>
        <w:spacing w:after="140"/>
      </w:pPr>
      <w:r>
        <w:t xml:space="preserve">Attachments to send with this message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What it is</w:t>
            </w:r>
          </w:p>
        </w:tc>
      </w:tr>
      <w:tr>
        <w:tc>
          <w:tcPr>
            <w:tcW w:w="4680" w:type="dxa"/>
          </w:tcPr>
          <w:p>
            <w:pPr>
              <w:spacing w:after="0"/>
            </w:pPr>
            <w:r>
              <w:rPr>
                <w:rFonts w:ascii="Consolas" w:hAnsi="Consolas"/>
              </w:rPr>
              <w:t xml:space="preserve">FOIL_Article_Draft.docx</w:t>
            </w:r>
          </w:p>
        </w:tc>
        <w:tc>
          <w:tcPr>
            <w:tcW w:w="4680" w:type="dxa"/>
          </w:tcPr>
          <w:p>
            <w:pPr>
              <w:spacing w:after="0"/>
            </w:pPr>
            <w:r>
              <w:t xml:space="preserve">The manuscript, submission-ready, her name first</w:t>
            </w:r>
          </w:p>
        </w:tc>
      </w:tr>
      <w:tr>
        <w:tc>
          <w:tcPr>
            <w:tcW w:w="4680" w:type="dxa"/>
          </w:tcPr>
          <w:p>
            <w:pPr>
              <w:spacing w:after="0"/>
            </w:pPr>
            <w:r>
              <w:rPr>
                <w:rFonts w:ascii="Consolas" w:hAnsi="Consolas"/>
              </w:rPr>
              <w:t xml:space="preserve">CFOC_Submission_2026-08-08.docx</w:t>
            </w:r>
          </w:p>
        </w:tc>
        <w:tc>
          <w:tcPr>
            <w:tcW w:w="4680" w:type="dxa"/>
          </w:tcPr>
          <w:p>
            <w:pPr>
              <w:spacing w:after="0"/>
            </w:pPr>
            <w:r>
              <w:t xml:space="preserve">Both Council drafts, Dr. Frazier and the co-chairs</w:t>
            </w:r>
          </w:p>
        </w:tc>
      </w:tr>
      <w:tr>
        <w:tc>
          <w:tcPr>
            <w:tcW w:w="4680" w:type="dxa"/>
          </w:tcPr>
          <w:p>
            <w:pPr>
              <w:spacing w:after="0"/>
            </w:pPr>
            <w:r>
              <w:rPr>
                <w:rFonts w:ascii="Consolas" w:hAnsi="Consolas"/>
              </w:rPr>
              <w:t xml:space="preserve">Honor_Materials_For_Stacy_Review_2026-08-08.docx</w:t>
            </w:r>
          </w:p>
        </w:tc>
        <w:tc>
          <w:tcPr>
            <w:tcW w:w="4680" w:type="dxa"/>
          </w:tcPr>
          <w:p>
            <w:pPr>
              <w:spacing w:after="0"/>
            </w:pPr>
            <w:r>
              <w:t xml:space="preserve">Full honor disclosure, citation, sources, stops</w:t>
            </w:r>
          </w:p>
        </w:tc>
      </w:tr>
      <w:tr>
        <w:tc>
          <w:tcPr>
            <w:tcW w:w="4680" w:type="dxa"/>
          </w:tcPr>
          <w:p>
            <w:pPr>
              <w:spacing w:after="0"/>
            </w:pPr>
            <w:r>
              <w:rPr>
                <w:rFonts w:ascii="Consolas" w:hAnsi="Consolas"/>
              </w:rPr>
              <w:t xml:space="preserve">DRAFT_Honor_Certificate_Stacy_Young.pdf</w:t>
            </w:r>
          </w:p>
        </w:tc>
        <w:tc>
          <w:tcPr>
            <w:tcW w:w="4680" w:type="dxa"/>
          </w:tcPr>
          <w:p>
            <w:pPr>
              <w:spacing w:after="0"/>
            </w:pPr>
            <w:r>
              <w:t xml:space="preserve">Draft certificate, watermarked as draft in the filename</w:t>
            </w:r>
          </w:p>
        </w:tc>
      </w:tr>
      <w:tr>
        <w:tc>
          <w:tcPr>
            <w:tcW w:w="4680" w:type="dxa"/>
          </w:tcPr>
          <w:p>
            <w:pPr>
              <w:spacing w:after="0"/>
            </w:pPr>
            <w:r>
              <w:rPr>
                <w:rFonts w:ascii="Consolas" w:hAnsi="Consolas"/>
              </w:rPr>
              <w:t xml:space="preserve">Blind_Recheck_Packet_E08.md</w:t>
            </w:r>
          </w:p>
        </w:tc>
        <w:tc>
          <w:tcPr>
            <w:tcW w:w="4680" w:type="dxa"/>
          </w:tcPr>
          <w:p>
            <w:pPr>
              <w:spacing w:after="0"/>
            </w:pPr>
            <w:r>
              <w:t xml:space="preserve">Send only once she names a second reader, and send it to them, not to her</w:t>
            </w:r>
          </w:p>
        </w:tc>
      </w:tr>
    </w:tbl>
    <w:p>
      <w:pPr/>
      <w:r>
        <w:t/>
      </w:r>
    </w:p>
    <w:p>
      <w:pPr>
        <w:spacing w:after="140"/>
      </w:pPr>
      <w:r>
        <w:rPr>
          <w:b/>
        </w:rPr>
        <w:t xml:space="preserve">Do not send:</w:t>
      </w:r>
      <w:r>
        <w:t xml:space="preserve"> </w:t>
      </w:r>
      <w:r>
        <w:rPr>
          <w:rFonts w:ascii="Consolas" w:hAnsi="Consolas"/>
        </w:rPr>
        <w:t xml:space="preserve">Blind_Recheck_KEY_E08.md</w:t>
      </w:r>
      <w:r>
        <w:t xml:space="preserve">. It contains the original reads and the outcomes for the ten selected cases.</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