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an initial question a measurement programme must address: given an operational definition of DRR, can independent domain experts distinguish records that satisfy it from records that do not? If they cannot, a governance control resting on human review of that property would lack an adequate empirical basis.</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independent verification and independently reproduced by automated raters without access to it. Reviewers worked independently, blind to that classification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detection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invited experts whose credentials are recorded. The remainder are regular reviewers who entered through the open review page and declared a professional domain without identity verification. The two groups are reported separately because they were recruited by different routes; the split records the recruitment channel and is not a measure of professional expertise.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regular-reviewer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experts and fourteen regular reviewers. Three regular reviewers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Regular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regular-reviewer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 panel was composed of credentialed practitioners and researchers recruited for expertise in AI governance, compliance, audit, human resources, investigations, data privacy, records, or law. Because participants self-selected into the study and the sample was not probability-based, performance among less experienced reviewers or reviewers outside these professional domains remains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are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subject to the study's access and confidentiality terms; and the analysis scripts that produce every figure in this paper.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experts and seventeen regular reviewers, recorded labels on the shared record set. Twenty-two of them, eight experts and fourteen regular reviewers, worked under the five-condition instrument and are the analysed sample behind the coefficients in Section 6.5; the other three regular reviewers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rPr>
          <w:b/>
        </w:rPr>
        <w:t xml:space="preserve">Named contributors, as at 29 August 2026.</w:t>
      </w:r>
      <w:r>
        <w:t xml:space="preserve"> Recognition is by each contributor's own election, recorded through the confirmation mechanism described in the data availability statement, and each name and description below stands as that person entered it. Thirty contributors to this programme have confirmed and twenty-six elected to be named:</w:t>
      </w:r>
    </w:p>
    <w:p>
      <w:pPr>
        <w:numPr>
          <w:ilvl w:val="0"/>
          <w:numId w:val="1"/>
        </w:numPr>
        <w:spacing w:after="60"/>
      </w:pPr>
      <w:r>
        <w:t xml:space="preserve">Adesh Sharma, Data and AI Governance Leader | IAPP AIGP CIPT, Digital Frontier Partners</w:t>
      </w:r>
    </w:p>
    <w:p>
      <w:pPr>
        <w:numPr>
          <w:ilvl w:val="0"/>
          <w:numId w:val="1"/>
        </w:numPr>
        <w:spacing w:after="60"/>
      </w:pPr>
      <w:r>
        <w:t xml:space="preserve">Andres Lage Freire, Operational AI Governance Lead &amp; Responsible AI Architect, Independent Consultant</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Boris Khazin, AI Governance, Digital Risk and GRC leader; ClearView MRI; ex-EPAM Global Head of DRM/GRC, Khazin Consulting LLC</w:t>
      </w:r>
    </w:p>
    <w:p>
      <w:pPr>
        <w:numPr>
          <w:ilvl w:val="0"/>
          <w:numId w:val="1"/>
        </w:numPr>
        <w:spacing w:after="60"/>
      </w:pPr>
      <w:r>
        <w:t xml:space="preserve">Candid Opris, Founder and Managing Partner, Opris &amp; Associates; two decades in AI and data governance and digital trust, Opris &amp; Associates Inc.</w:t>
      </w:r>
    </w:p>
    <w:p>
      <w:pPr>
        <w:numPr>
          <w:ilvl w:val="0"/>
          <w:numId w:val="1"/>
        </w:numPr>
        <w:spacing w:after="60"/>
      </w:pPr>
      <w:r>
        <w:t xml:space="preserve">Donavine Smith, Board &amp; Executive Advisor | Frontier AI Strategy &amp; Governance, Independent</w:t>
      </w:r>
    </w:p>
    <w:p>
      <w:pPr>
        <w:numPr>
          <w:ilvl w:val="0"/>
          <w:numId w:val="1"/>
        </w:numPr>
        <w:spacing w:after="60"/>
      </w:pPr>
      <w:r>
        <w:t xml:space="preserve">Dr. Gabriela Bar, attorney at law, AI ethics advisor, Gabriela Bar Law &amp; AI</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Dr Sharon Licqurish, PhD, CEO, Chief Scientist and AI Governance Architect, AIIP, AIIP, Ontocore Licencing Authority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Greg Searle, AI Governance and Model Behaviour Researcher, Anypoint Pty Ltd</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Jake McDonough, AI Governance, SAEONYX Global Holdings, LLC</w:t>
      </w:r>
    </w:p>
    <w:p>
      <w:pPr>
        <w:numPr>
          <w:ilvl w:val="0"/>
          <w:numId w:val="1"/>
        </w:numPr>
        <w:spacing w:after="60"/>
      </w:pPr>
      <w:r>
        <w:t xml:space="preserve">Joseph Mungai, AI Governance and public policy researcher, Independent Researcher - Kenya</w:t>
      </w:r>
    </w:p>
    <w:p>
      <w:pPr>
        <w:numPr>
          <w:ilvl w:val="0"/>
          <w:numId w:val="1"/>
        </w:numPr>
        <w:spacing w:after="60"/>
      </w:pPr>
      <w:r>
        <w:t xml:space="preserve">MacKenzie McCowan, AI Governance Specialist, PhD candidate, Lecturer, Atomi; The University of Sydney; Avondale University</w:t>
      </w:r>
    </w:p>
    <w:p>
      <w:pPr>
        <w:numPr>
          <w:ilvl w:val="0"/>
          <w:numId w:val="1"/>
        </w:numPr>
        <w:spacing w:after="60"/>
      </w:pPr>
      <w:r>
        <w:t xml:space="preserve">Muhammad Dauda, Programme leadership, sustainability and governance; UN SDSN Youth Nigeria; Miva Open University; PgMP, UN SDSN NIGERIA</w:t>
      </w:r>
    </w:p>
    <w:p>
      <w:pPr>
        <w:numPr>
          <w:ilvl w:val="0"/>
          <w:numId w:val="1"/>
        </w:numPr>
        <w:spacing w:after="60"/>
      </w:pPr>
      <w:r>
        <w:t xml:space="preserve">Nigel Hee, AI Ethics, Safety and Governance, University of Glasgow</w:t>
      </w:r>
    </w:p>
    <w:p>
      <w:pPr>
        <w:numPr>
          <w:ilvl w:val="0"/>
          <w:numId w:val="1"/>
        </w:numPr>
        <w:spacing w:after="60"/>
      </w:pPr>
      <w:r>
        <w:t xml:space="preserve">Olabanji Lawal, Operations and Records management, ALTV</w:t>
      </w:r>
    </w:p>
    <w:p>
      <w:pPr>
        <w:numPr>
          <w:ilvl w:val="0"/>
          <w:numId w:val="1"/>
        </w:numPr>
        <w:spacing w:after="60"/>
      </w:pPr>
      <w:r>
        <w:t xml:space="preserve">Priyam Dhamankar, Ethics and Compliance Leader, Cummins India; 17+ years legal, compliance and investigations, Cummins India Limited</w:t>
      </w:r>
    </w:p>
    <w:p>
      <w:pPr>
        <w:numPr>
          <w:ilvl w:val="0"/>
          <w:numId w:val="1"/>
        </w:numPr>
        <w:spacing w:after="60"/>
      </w:pPr>
      <w:r>
        <w:t xml:space="preserve">Rahul Potdar, Independent Director; Corporate Governance, Risk Management and ESG Strategy; Board Adviser; Leontra Technologies; IIM Raipur</w:t>
      </w:r>
    </w:p>
    <w:p>
      <w:pPr>
        <w:numPr>
          <w:ilvl w:val="0"/>
          <w:numId w:val="1"/>
        </w:numPr>
        <w:spacing w:after="60"/>
      </w:pPr>
      <w:r>
        <w:t xml:space="preserve">Sagarika Banerjee, AI Governance and Software QA Leader; ISO/IEC 42001, NIST AI RMF, On sabbatical till March 2027 for world travel</w:t>
      </w:r>
    </w:p>
    <w:p>
      <w:pPr>
        <w:numPr>
          <w:ilvl w:val="0"/>
          <w:numId w:val="1"/>
        </w:numPr>
        <w:spacing w:after="60"/>
      </w:pPr>
      <w:r>
        <w:t xml:space="preserve">Saurabh Nanda, General Manager, APAC, Healthcare</w:t>
      </w:r>
    </w:p>
    <w:p>
      <w:pPr>
        <w:numPr>
          <w:ilvl w:val="0"/>
          <w:numId w:val="1"/>
        </w:numPr>
        <w:spacing w:after="60"/>
      </w:pPr>
      <w:r>
        <w:t xml:space="preserve">Stacyann Young, Public records and FOIL practice, Independent Researcher</w:t>
      </w:r>
    </w:p>
    <w:p>
      <w:pPr>
        <w:numPr>
          <w:ilvl w:val="0"/>
          <w:numId w:val="1"/>
        </w:numPr>
        <w:spacing w:after="60"/>
      </w:pPr>
      <w:r>
        <w:t xml:space="preserve">SungSoo In, Independent Researcher; Founder, Athena Governance Architecture</w:t>
      </w:r>
    </w:p>
    <w:p>
      <w:pPr>
        <w:numPr>
          <w:ilvl w:val="0"/>
          <w:numId w:val="1"/>
        </w:numPr>
        <w:spacing w:after="60"/>
      </w:pPr>
      <w:r>
        <w:t xml:space="preserve">Wendy Ann Martel, Founder and Strategic Advisor, Data, Privacy &amp; AI Governance, Evata Consulting</w:t>
      </w:r>
    </w:p>
    <w:p>
      <w:pPr>
        <w:spacing w:after="140"/>
      </w:pPr>
      <w:r>
        <w:t xml:space="preserve">Four further contributors confirmed and elected not to be named. Their judgments are counted in every figure reported here and they appear nowhere by name. Confirmations remain open, so this is a record of the elections received to date rather than of who took part.</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