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(2026-08-05):</w:t>
      </w:r>
      <w:r>
        <w:t xml:space="preserve"> Working draft, complete and submittable. This paper reports Study 011, the detection study, which asks whether Decision Reconstruction Risk can be identified by independent expert review. That study is finished. A separate randomized comparison study, which asks the different question of whether the method improves on unaided judgment, is still collecting data and is reported separately when it closes; it is disclosed in Section 4.8 and is not part of the analysis here. All figures are verified against the study database on the date shown.</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A separate study, disclosed.</w:t>
      </w:r>
      <w:r>
        <w:t xml:space="preserve"> A randomized comparison testing whether the five conditions improve on unaided professional judgment is running as a distinct study with its own participants and its own registration. It is still collecting data and is not reported here. Its existence, design, and status are stated in Section 4.8 so that the scope of the present claim is unambiguous: this paper establishes that the risk is detectable, and it does not claim that the method outperforms unaided judgment.</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Whether the structured method improves on unaided judgment is a separate question, under separate test, and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experienced professionals independently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separate randomized comparison study are blind to its two-condition design and are debriefed on closure of that study.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3"/>
        <w:spacing w:after="140"/>
      </w:pPr>
      <w:r>
        <w:t xml:space="preserve">4.8 A separate study, disclosed</w:t>
      </w:r>
    </w:p>
    <w:p>
      <w:pPr>
        <w:spacing w:after="140"/>
      </w:pPr>
      <w:r>
        <w:t xml:space="preserve">The question this paper answers is whether Decision Reconstruction Risk can be detected. A different question, whether the five conditions improve on unaided professional judgment, is being tested in a separate study with its own participants, its own recruitment, its own participant codes, and its own registration. That study randomly assigns experienced professionals with no prior exposure to the method either to apply the five conditions or to answer a single general question about adequacy of support, on the same 24-record corpus.</w:t>
      </w:r>
    </w:p>
    <w:p>
      <w:pPr>
        <w:spacing w:after="140"/>
      </w:pPr>
      <w:r>
        <w:t xml:space="preserve">It is disclosed here for three reasons. It shares the corpus with this study, so a reader is entitled to know it exists. Its participants are drawn from the same professional population. And the two questions are easy to conflate, so the boundary is stated rather than left to inference.</w:t>
      </w:r>
    </w:p>
    <w:p>
      <w:pPr>
        <w:spacing w:after="140"/>
      </w:pPr>
      <w:r>
        <w:rPr>
          <w:b/>
        </w:rPr>
        <w:t xml:space="preserve">It is still collecting data and is therefore not reported here.</w:t>
      </w:r>
      <w:r>
        <w:t xml:space="preserve"> Reporting an open study's results would be premature regardless of what they show. It will be reported separately, in full and whatever the outcome, when data collection closes.</w:t>
      </w:r>
    </w:p>
    <w:p>
      <w:pPr>
        <w:spacing w:after="140"/>
      </w:pPr>
      <w:r>
        <w:t xml:space="preserve">Two consequences follow for how this paper should be read. First, nothing in this paper claims the method outperforms unaided judgment; that claim is not made, and the evidence for or against it is not in this manuscript. Second, the detection result reported here does not depend on the comparison in any way. The corpus, the key, the panel, and the analysis plan for detection were fixed independently of it.</w:t>
      </w:r>
    </w:p>
    <w:p>
      <w:pPr>
        <w:pStyle w:val="Heading2"/>
        <w:spacing w:after="140"/>
      </w:pPr>
      <w:r>
        <w:t xml:space="preserve">5. Results: DRR is detectable</w:t>
      </w:r>
    </w:p>
    <w:p>
      <w:pPr>
        <w:spacing w:after="140"/>
      </w:pPr>
      <w:r>
        <w:t xml:space="preserve">Thirty-two experienced professionals across 11 countries and 5 continents contributed 768 graded reads to this study, unpaid and in a personal capacity, each working through a full 24-record corpus. Twenty-two of them individually met or exceeded the 70 percent detection threshold set before the data were seen, and 10 scored perfectly.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rPr>
          <w:b/>
        </w:rPr>
        <w:t xml:space="preserve">Both point estimates clear the pre-registered floor of 0.61. Neither clears the plan's secondary criterion that the lower confidence bound exceed 0.41</w:t>
      </w:r>
      <w:r>
        <w:t xml:space="preserve">, on the analytic interval: experts fall on the boundary at 0.402 and pass it on the bootstrap interval at 0.427, while trained reviewers do not meet it on either. This is stated rather than omitted, and it is a direct consequence of estimating a coefficient from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rPr>
          <w:b/>
        </w:rPr>
        <w:t xml:space="preserve">These reliability figures are interim.</w:t>
      </w:r>
      <w:r>
        <w:t xml:space="preserve"> They rest on 10 records against a pre-registered pooled target of approximately 26, which is why the intervals above are as wide as they are. They are reported as an interim result and will be re-estimated at target, at which point the lower-bound criterion becomes a meaningful test rather than an artifact of sample size.</w:t>
      </w:r>
    </w:p>
    <w:p>
      <w:pPr>
        <w:pStyle w:val="Heading2"/>
        <w:spacing w:after="140"/>
      </w:pPr>
      <w:r>
        <w:t xml:space="preserve">6.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it is the subject of the separate study described in Section 4.8, and nothing here settles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spacing w:after="140"/>
      </w:pPr>
      <w:r>
        <w:rPr>
          <w:b/>
        </w:rPr>
        <w:t xml:space="preserve">What this study supports, stated in full.</w:t>
      </w:r>
      <w:r>
        <w:t xml:space="preserve"> Decision Reconstruction Risk is detectable by experienced professionals: 83.9 percent accuracy against a verified key, clearing a threshold fixed before the data were seen, by a panel spanning 11 countries and 5 continents. The review is applied consistently by independent machines at 84 percent cross-vendor agreement and by independent human experts at AC1 0.74, interim. What this study does not address is whether the method improves on unaided expert judgment. That is a separate question, under separate test, and no claim about it is made here. A property can be real, visible, and worth building controls around before anyone has shown that a particular instrument improves on expert intuition at detecting it, and establishing detectability is the precondition for asking the second question at all.</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This study does not test whether the method improves on unaided judgment, and no result here should be read as evidence on that question.</w:t>
      </w:r>
      <w:r>
        <w:t xml:space="preserve"> Detection has no control condition by design: the panel is measured against a verified key, not against another group. The separate randomized comparison described in Section 4.8 is the study built to answer that question, and it is not yet complete. Readers should not infer an efficacy claim from a detection result, and none is made.</w:t>
      </w:r>
    </w:p>
    <w:p>
      <w:pPr>
        <w:spacing w:after="140"/>
      </w:pPr>
      <w:r>
        <w:rPr>
          <w:b/>
        </w:rPr>
        <w:t xml:space="preserve">The panel is composed of experienced professionals, which bounds the generalization in a specific direction.</w:t>
      </w:r>
      <w:r>
        <w:t xml:space="preserve"> These results establish that DRR is detectable by people who review records for a living. They do not establish what a less experienced reviewer, or a reviewer working outside their domain, would achieve on the same corpus, and that is a worthwhile question for later work.</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32 experienced professionals across 11 countries and 5 continents each read a full corpus of 24 records with care, on their own time, without compensation, and with no stake in the outcome. That is 768 independent judgments contributed to a question none of them had to take an interest in. The quality of the panel is the reason the detection result is worth reporting at all, and the international and linguistic range of that panel is a methodological asset rather than a courtesy, for the reasons set out in Section 2.1.</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(restructure): </w:t>
      </w:r>
      <w:r>
        <w:rPr>
          <w:b/>
        </w:rPr>
        <w:t xml:space="preserve">Scope corrected to the study's actual research question.</w:t>
      </w:r>
      <w:r>
        <w:t xml:space="preserve"> This paper now reports Study 011 only: whether Decision Reconstruction Risk is detectable. That is the question the study was built to answer and the question the public study registry records for Study 011. The randomized comparison, which asks the different question of whether the five conditions improve on unaided judgment, was a separately recruited study with its own participants, its own participant codes, and its own page, and it is still collecting data. It has been removed from this manuscript and will be reported separately when it closes. Section 4.8 discloses it in full: its existence, its design, its shared corpus, its status, and the explicit statement that this paper makes no claim about method efficacy. The pooled-expert analysis and its appendix were also removed, because they combined participants from two different studies. Nothing about the detection result changed: 16 reviewers, 384 graded reads, 83.9 percent, 95 percent CI 72.7 to 95.1, sensitivity 87.0, specificity 80.7, thresholds cleared on both criteria. Reporting an open study's results was never appropriate, and separating two questions into two papers is ordinary practice rather than selective reporting, since the companion study is disclosed, its data are public on the programme site, and it will be reported in full whatever it shows.</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