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correspondence</w:t>
      </w:r>
    </w:p>
    <w:p>
      <w:pPr>
        <w:spacing w:after="140"/>
      </w:pPr>
      <w:r>
        <w:t xml:space="preserve">Revised 2026-08-28 against the final 32-case manuscript and its submission package. Both emails are sent by Stacyann Young alone, per the owner's decision of 2026-08-28: they are addressed to a federal council and to a named Department of the Interior attorney about public-records practice, and they are stronger from twenty years in New York City government and her certifications than from a joint signature.</w:t>
      </w:r>
    </w:p>
    <w:p>
      <w:pPr>
        <w:pBdr>
          <w:bottom w:val="single" w:sz="6" w:space="1" w:color="AAAAAA"/>
        </w:pBdr>
      </w:pPr>
    </w:p>
    <w:p>
      <w:pPr>
        <w:pStyle w:val="Heading2"/>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my personal professional capacity about the inventory of FOIA technology solutions described in the Council's 28 May memorandum. I have just completed a study that sits directly alongside it and that may be useful as the inventory takes shape. This research was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study applies a structured read of the record itself, without regard to which system produced it, to 32 publicly available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the documented outcome was consulted, and the assessment was recorded with a contemporaneous written basis.</w:t>
      </w:r>
    </w:p>
    <w:p>
      <w:pPr>
        <w:spacing w:after="140"/>
      </w:pPr>
      <w:r>
        <w:t xml:space="preserve">Three findings may be particularly relevant to the Council's work.</w:t>
      </w:r>
    </w:p>
    <w:p>
      <w:pPr>
        <w:spacing w:after="140"/>
      </w:pPr>
      <w:r>
        <w:t xml:space="preserve">The read agreed with independent government auditors in every case where both existed. All five compliance audits in the set received a Gap read, and in all five the auditor had separately recorded that the agency could not evidence its own FOIL responses: tracking was missing or incomplete, records of what had been provided were missing, and in two audits the auditor expressly stated that it could not determine whether the necessary information had been supplied.</w:t>
      </w:r>
    </w:p>
    <w:p>
      <w:pPr>
        <w:spacing w:after="140"/>
      </w:pPr>
      <w:r>
        <w:t xml:space="preserve">The read was driven by whether the underlying basis could be rebuilt from the source, not by whether the agency won. Among the seven Needs work cases carrying a contemporaneous basis note, six state that the underlying record-level basis could not be rebuilt from the source, against none of the 17 noted Ready cases (Fisher's exact, two-sided, p = 0.0000520).</w:t>
      </w:r>
    </w:p>
    <w:p>
      <w:pPr>
        <w:spacing w:after="140"/>
      </w:pPr>
      <w:r>
        <w:t xml:space="preserve">The read also separated document types by how much reconstructable basis they expose. Sources that reproduce the determination text read Ready in six of seven cases; sources that assessed underlying records in camera or in aggregate read Ready in none of seven (p = 0.00466).</w:t>
      </w:r>
    </w:p>
    <w:p>
      <w:pPr>
        <w:spacing w:after="140"/>
      </w:pPr>
      <w:r>
        <w:t xml:space="preserve">A fourth analysis found no relationship between the read and whether an agency prevailed on appeal, with Fisher's exact p = 1.000. The study treats that as a specification check rather than as a failure of the instrument, because reconstructability and appellate disposition measure different things and published decisions are selected for contested legal questions.</w:t>
      </w:r>
    </w:p>
    <w:p>
      <w:pPr>
        <w:spacing w:after="140"/>
      </w:pPr>
      <w:r>
        <w:t xml:space="preserve">The same instrument has also been applied in a separate employment-law corpus that is not filtered by publication practice. In that corpus, 6 of 8 records read as Needs work or Gap drew an adverse finding, compared with 2 of 12 records read as Ready (p = 0.0194). A separate resolved-disposition analysis in that corpus produces p = 0.0291. That observation is reported here only as a boundary-condition test and is not part of the present 32-case study.</w:t>
      </w:r>
    </w:p>
    <w:p>
      <w:pPr>
        <w:spacing w:after="140"/>
      </w:pPr>
      <w:r>
        <w:t xml:space="preserve">The practical point for the inventory is narrow. A documentation-quality sample is inexpensive, runs on records an agency already has, requires no new software, and measures something an inventory cannot see: whether the resulting record holds up when someone reads it cold. If a measure of that kind would be useful as a companion to the technology data you are collecting, I would be glad to share the protocol, the case set with citations, and the analysis, and to answer questions from you or your staff.</w:t>
      </w:r>
    </w:p>
    <w:p>
      <w:pPr>
        <w:spacing w:after="140"/>
      </w:pPr>
      <w:r>
        <w:t xml:space="preserve">The manuscript is being submitted for publication.</w:t>
      </w:r>
    </w:p>
    <w:p>
      <w:pPr>
        <w:spacing w:after="140"/>
      </w:pPr>
      <w:r>
        <w:t xml:space="preserve">With respect,</w:t>
      </w:r>
    </w:p>
    <w:p>
      <w:pPr>
        <w:spacing w:after="140"/>
      </w:pPr>
      <w:r>
        <w:t xml:space="preserve">Stacyann Young Independent Researcher</w:t>
      </w:r>
    </w:p>
    <w:p>
      <w:pPr>
        <w:pBdr>
          <w:bottom w:val="single" w:sz="6" w:space="1" w:color="AAAAAA"/>
        </w:pBdr>
      </w:pPr>
    </w:p>
    <w:p>
      <w:pPr>
        <w:pStyle w:val="Heading2"/>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w:t>
      </w:r>
    </w:p>
    <w:p>
      <w:pPr>
        <w:spacing w:after="140"/>
      </w:pPr>
      <w:r>
        <w:t xml:space="preserve">I am writing in my personal professional capacity. My research work is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I have just completed an empirical study of documentation quality in public-records determinations, covering 32 publicly available cases across court decisions, open-government advisory opinions, state commission decisions, and Comptroller compliance audits, with decisions spanning 2005 to 2026. The central result is that a structured record-level read agreed with independent government auditors in every case where both assessments existed, five of five. The manuscript is being submitted for publication, and a separate study in a second domain finds an association between the same read and documented outcome.</w:t>
      </w:r>
    </w:p>
    <w:p>
      <w:pPr>
        <w:spacing w:after="140"/>
      </w:pPr>
      <w:r>
        <w:t xml:space="preserve">What I would bring to the Technology Committee is the perspective that sits next to the technology question rather than inside it: whether the determinations produced through any given system remain independently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p>
      <w:pPr>
        <w:pBdr>
          <w:bottom w:val="single" w:sz="6" w:space="1" w:color="AAAAAA"/>
        </w:pBdr>
      </w:pPr>
    </w:p>
    <w:p>
      <w:pPr>
        <w:pStyle w:val="Heading2"/>
        <w:spacing w:after="140"/>
      </w:pPr>
      <w:r>
        <w:t xml:space="preserve">Working notes, NOT part of the correspondence</w:t>
      </w:r>
    </w:p>
    <w:p>
      <w:pPr>
        <w:spacing w:after="140"/>
      </w:pPr>
      <w:r>
        <w:rPr>
          <w:b/>
        </w:rPr>
        <w:t xml:space="preserve">This file is the working copy. The clean text to send is `research/CFOC_Emails_SEND_COPY_2026-08-28.md`, which contains the two emails and nothing else.</w:t>
      </w:r>
    </w:p>
    <w:p>
      <w:pPr>
        <w:spacing w:after="140"/>
      </w:pPr>
      <w:r>
        <w:rPr>
          <w:b/>
        </w:rPr>
        <w:t xml:space="preserve">Status language.</w:t>
      </w:r>
      <w:r>
        <w:t xml:space="preserve"> Both emails now read </w:t>
      </w:r>
      <w:r>
        <w:rPr>
          <w:i/>
        </w:rPr>
        <w:t xml:space="preserve">"The manuscript is being submitted for publication."</w:t>
      </w:r>
      <w:r>
        <w:t xml:space="preserve"> That is the accurate form while the article and the emails go out around the same time. If the article has already reached the journal when these are sent, the phrase may be changed to </w:t>
      </w:r>
      <w:r>
        <w:rPr>
          <w:i/>
        </w:rPr>
        <w:t xml:space="preserve">"The manuscript is currently under submission."</w:t>
      </w:r>
      <w:r>
        <w:t xml:space="preserve"> It should never overstate the status: an email preserved in an administrative record and the eventual publication have to describe the same thing.</w:t>
      </w:r>
    </w:p>
    <w:p>
      <w:pPr>
        <w:spacing w:after="140"/>
      </w:pPr>
      <w:r>
        <w:rPr>
          <w:b/>
        </w:rPr>
        <w:t xml:space="preserve">Signature.</w:t>
      </w:r>
      <w:r>
        <w:t xml:space="preserve"> Email 1 previously carried both authors' signatures, which contradicted this file's own statement that Stacyann sends both alone. Phillip's signature was removed on 2026-08-28. Email 2 was always correct.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