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 no longer prove it.</w:t>
      </w:r>
    </w:p>
    <w:p>
      <w:pPr>
        <w:spacing w:after="140"/>
      </w:pPr>
      <w:r>
        <w:t xml:space="preserve">Generative AI can make that gap easier to create. A drafted narrative may read as finished even when the material that would substantiate it has not been preserved. </w:t>
      </w:r>
      <w:r>
        <w:rPr>
          <w:b/>
        </w:rPr>
        <w:t xml:space="preserve">That is a forward-looking concern, not a finding of this study.</w:t>
      </w:r>
      <w:r>
        <w:t xml:space="preserve"> The corpus was not selected for AI involvement, </w:t>
      </w:r>
      <w:r>
        <w:rPr>
          <w:b/>
        </w:rPr>
        <w:t xml:space="preserve">no case in it is shown to have been AI-drafted</w:t>
      </w:r>
      <w:r>
        <w:t xml:space="preserve">, and the corpus spans decisions from 1973 to 2026, most of which predate generative drafting. The question tested is whether the review distinguishes records that can independently support their conclusions from records that cannot, regardless of how the record was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here typically quoted the original documentation rather than summarizing it.</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commonest form here was a conclusion about performance or conduct stated confidently,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 These are rarer and readily identified.</w:t>
      </w:r>
    </w:p>
    <w:p>
      <w:pPr>
        <w:spacing w:after="140"/>
      </w:pPr>
      <w:r>
        <w:t xml:space="preserve">For AI-assisted drafting, Needs work may be the more difficult failure mode to detect. A Gap record looks thin to anyone who opens it. A Needs work record can read well, follow the template and still contain material claims that cannot be independently checked, which can make it harder to detect during routine file-by-file review and more consequential when the record is later examined.</w:t>
      </w:r>
    </w:p>
    <w:p>
      <w:pPr>
        <w:pStyle w:val="Heading2"/>
        <w:spacing w:after="140"/>
      </w:pPr>
      <w:r>
        <w:t xml:space="preserve">What was tested</w:t>
      </w:r>
    </w:p>
    <w:p>
      <w:pPr>
        <w:spacing w:after="140"/>
      </w:pPr>
      <w:r>
        <w:t xml:space="preserve">Twenty adjudicated employment and labour matters,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rPr>
          <w:b/>
        </w:rPr>
        <w:t xml:space="preserve">Two matters were screened into the study database and are excluded from the analysis.</w:t>
      </w:r>
      <w:r>
        <w:t xml:space="preserve"> One is a public-records advisory opinion rather than an employment adjudication, and belongs to a different domain. The other identifies no specific decision and cannot be cited. Both exclusions were made before the analysis reported here and both are stated so a reader can reconstruct the corpus.</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as reproduced within it.</w:t>
      </w:r>
      <w:r>
        <w:rPr>
          <w:vertAlign w:val="superscript"/>
        </w:rPr>
        <w:t xml:space="preserve">3</w:t>
      </w:r>
      <w:r>
        <w:t xml:space="preserve"> The classification was recorded before the documented outcome was consulted. The outcome and supporting citation were then entered from the decision.</w:t>
      </w:r>
    </w:p>
    <w:p>
      <w:pPr>
        <w:spacing w:after="140"/>
      </w:pPr>
      <w:r>
        <w:rPr>
          <w:b/>
        </w:rPr>
        <w:t xml:space="preserve">That design carries a circularity objection, and it is the first thing a careful reader should raise.</w:t>
      </w:r>
      <w:r>
        <w:t xml:space="preserve"> The decision both narrates the outcome and characterizes the employer's evidence, so the reviewer worked from a source already containing the outcome being assessed. The database stores one timestamp per case rather than two, so the ordering rests on the protocol rather than a system record.</w:t>
      </w:r>
    </w:p>
    <w:p>
      <w:pPr>
        <w:spacing w:after="140"/>
      </w:pPr>
      <w:r>
        <w:rPr>
          <w:b/>
        </w:rPr>
        <w:t xml:space="preserve">The objection is not answered here and must not be treated as answered.</w:t>
      </w:r>
      <w:r>
        <w:t xml:space="preserve"> The association is consistent with a documentation deficiency an adjudicator also noticed, and equally consistent with reviewer influence from information in the decision. Separating those requires a design this study did not use: independent timestamping, a second blinded reader, or employer records obtained before adjudication.</w:t>
      </w:r>
    </w:p>
    <w:p>
      <w:pPr>
        <w:spacing w:after="140"/>
      </w:pPr>
      <w:r>
        <w:t xml:space="preserve">This is a single-practitioner field pilot: one qualified specialist, one caseload, applied inside an ordinary workload. The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four categories are mutually exclusive and sum to 20.</w:t>
      </w:r>
    </w:p>
    <w:p>
      <w:pPr>
        <w:pStyle w:val="Heading2"/>
        <w:spacing w:after="140"/>
      </w:pPr>
      <w:r>
        <w:t xml:space="preserve">What was found</w:t>
      </w:r>
    </w:p>
    <w:p>
      <w:pPr>
        <w:spacing w:after="140"/>
      </w:pPr>
      <w:r>
        <w:t xml:space="preserve">Needs work and Gap are grouped, since both describe a record whose basis is incomplete. An adverse finding means a matter in which the employer's position did not survive review, or which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t xml:space="preserve">Fisher's exact test, two-sided: </w:t>
      </w:r>
      <w:r>
        <w:rPr>
          <w:b/>
        </w:rPr>
        <w:t xml:space="preserve">p = 0.0194</w:t>
      </w:r>
      <w:r>
        <w:t xml:space="preserve">.</w:t>
      </w:r>
      <w:r>
        <w:rPr>
          <w:vertAlign w:val="superscript"/>
        </w:rPr>
        <w:t xml:space="preserve">5</w:t>
      </w:r>
    </w:p>
    <w:p>
      <w:pPr>
        <w:spacing w:after="140"/>
      </w:pPr>
      <w:r>
        <w:t xml:space="preserve">Records classified as incomplete were associated with an adverse finding in 75.0 percent of cases, compared with 16.7 percent of records classified as Ready.</w:t>
      </w:r>
    </w:p>
    <w:p>
      <w:pPr>
        <w:spacing w:after="140"/>
      </w:pPr>
      <w:r>
        <w:t xml:space="preserve">The result depends on how an adverse outcome is defined, and no rule was fixed before the data closed. </w:t>
      </w:r>
      <w:r>
        <w:rPr>
          <w:b/>
        </w:rPr>
        <w:t xml:space="preserve">The classification was therefore defined retrospectively and should be treated as exploratory.</w:t>
      </w:r>
      <w:r>
        <w:t xml:space="preserve"> Restricting to the 13 matters with a resolved disposition and asking only whether the employer's position was sustained gives p = 0.0291. Including the two excluded matters returns the corpus to 22 and gives p = 0.0073, a stronger result on a weaker corpus.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recorded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where it did not track outcomes at all.</w:t>
      </w:r>
    </w:p>
    <w:p>
      <w:pPr>
        <w:spacing w:after="140"/>
      </w:pPr>
      <w:r>
        <w:t xml:space="preserve">Freedom-of-information determinations reach publication because a legal or access question was contested, so publication does not imply the underlying file was typical of the broader record population. Fifteen of the 20 resolved determinations there did not survive, a rate set by the publication process rather than by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from that result.</w:t>
      </w:r>
      <w:r>
        <w:rPr>
          <w:vertAlign w:val="superscript"/>
        </w:rPr>
        <w:t xml:space="preserve">6</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and financial-crime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w:t>
      </w:r>
      <w:r>
        <w:rPr>
          <w:b/>
        </w:rPr>
        <w:t xml:space="preserve">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was never attached because the narrative read as complete without it. In audit or dispute the absence of that material becomes the central issue, and a sound decision has to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is one that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22 matters were the full study corpus rather than a statistically designed sample drawn against a stated tolerable error and confidence level. Build the sampling plan in the ordinary way, using whatever sampling standard the function already applies. The unit of analysis is the record. A periodic sample, sized to the relevant population and weighted toward consequential decisions, meaning decisions with material employment, financial, legal or compliance implications such as terminations, disciplinary outcomes and denials of accommodation, would generally be more informative than a larger unweighted sample. The aggregate view matters more than any individual file, because patterned compliance is visible only across a population.</w:t>
      </w:r>
    </w:p>
    <w:p>
      <w:pPr>
        <w:spacing w:after="140"/>
      </w:pPr>
      <w:r>
        <w:rPr>
          <w:b/>
        </w:rPr>
        <w:t xml:space="preserve">What triggers escalation?</w:t>
      </w:r>
      <w:r>
        <w:t xml:space="preserve"> A single Needs work classification can ordinarily trigger coaching or remediation. A rising rate, or a persistent concentration by author, business unit or decision type, can warrant treatment as a control finding. The second is the more important control signal, but it cannot be identified reliably unless the first is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a working specialist can apply inside an ordinary workload. The result should therefore be interpreted as exploratory.</w:t>
      </w:r>
    </w:p>
    <w:p>
      <w:pPr>
        <w:spacing w:after="140"/>
      </w:pPr>
      <w:r>
        <w:t xml:space="preserve">It does not establish that the review improves outcomes, reduces litigation risk or increases decision quality, none of which was tested. Twenty cases from one practitioner's caseload, selected from published sources rather than sampled at random, is a field pilot. Published adjudications are not a random sample of employment records, since a matter reaches adjudication because something was contested.</w:t>
      </w:r>
    </w:p>
    <w:p>
      <w:pPr>
        <w:spacing w:after="140"/>
      </w:pPr>
      <w:r>
        <w:t xml:space="preserve">A larger study should broaden the corpus without regard to how matters resolved, put at least two reviewers on each case with the classification and outcome recorded separately, fix the treatment of unresolved contests in advance, and where feasible obtain the underlying record independently of the adjudicated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corpus comprises 20 adjudicated employment matters from 20 distinct published decisions, collected between 22 June and 29 July 2026. The full case list, with the adjudicating forum for each matter, is set out in the appendix.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into the study database and two are excluded from the analysis. The first is a New York Committee on Open Government advisory opinion concerning a public-records request for disciplinary records. Its subject is employment records but its forum and legal question are public records, so it belongs to the companion public-records corpus rather than this one. The second is an entry whose record describes a capability dismissal but identifies no party, forum, date or case number, so no decision can be located and the matter cannot be cited. </w:t>
      </w:r>
      <w:r>
        <w:rPr>
          <w:b/>
        </w:rPr>
        <w:t xml:space="preserve">Both exclusions were applied before the analysis reported here, and both matters are named in the appendix so the full screened set can be reconstructed.</w:t>
      </w:r>
      <w:r>
        <w:t xml:space="preserve"> Including both returns the corpus to 22 and strengthens the association to p = 0.0073 with an odds ratio of 19.25, so the exclusions are conservative.</w:t>
      </w:r>
    </w:p>
    <w:p>
      <w:pPr>
        <w:spacing w:after="140"/>
      </w:pPr>
      <w:r>
        <w:rPr>
          <w:b/>
        </w:rPr>
        <w:t xml:space="preserve">Protocol and classification</w:t>
      </w:r>
    </w:p>
    <w:p>
      <w:pPr>
        <w:spacing w:after="140"/>
      </w:pPr>
      <w:r>
        <w:rPr>
          <w:b/>
        </w:rPr>
        <w:t xml:space="preserve">3.</w:t>
      </w:r>
      <w:r>
        <w:t xml:space="preserve"> For each matter the reviewer read the published decision in full and worked from the portions describing the employer's contemporaneous documentation as reproduced or characterized within it.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categories are mutually exclusive and sum to 20. </w:t>
      </w:r>
      <w:r>
        <w:rPr>
          <w:b/>
        </w:rPr>
        <w:t xml:space="preserve">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observed proportions with an adverse finding were 75.0 percent for records classified Needs work or Gap (6 of 8, 95 percent Wilson score interval 40.9 to 92.9 percent) and 16.7 percent for records classified Ready (2 of 12, 95 percent Wilson score interval 4.7 to 44.8 percent). Wilson intervals are used for these proportions because the cell counts are small and the normal approximation is unreliable at this sample size.</w:t>
      </w:r>
    </w:p>
    <w:p>
      <w:pPr>
        <w:spacing w:after="140"/>
      </w:pPr>
      <w:r>
        <w:rPr>
          <w:b/>
        </w:rPr>
        <w:t xml:space="preserve">6.</w:t>
      </w:r>
      <w:r>
        <w:t xml:space="preserve"> Comparison with the public-records corpus used the Woolf test of homogeneity of odds ratios: Q = 2.550 on 1 degree of freedom, p = 0.110. The test does not establish equivalence; it fails to detect a difference at this sample size.</w:t>
      </w:r>
    </w:p>
    <w:p>
      <w:pPr>
        <w:spacing w:after="140"/>
      </w:pPr>
      <w:r>
        <w:rPr>
          <w:b/>
        </w:rPr>
        <w:t xml:space="preserve">Contributor methodology</w:t>
      </w:r>
    </w:p>
    <w:p>
      <w:pPr>
        <w:spacing w:after="140"/>
      </w:pPr>
      <w:r>
        <w:rPr>
          <w:b/>
        </w:rPr>
        <w:t xml:space="preserve">7.</w:t>
      </w:r>
      <w:r>
        <w:t xml:space="preserve"> Ubayet Hossain, FRM, provided methodological guidance on the reference-panel design, the chance-corrected agreement framework and the prespecified acceptance thresholds, in a personal professional capacity. His contribution does not represent the views of any employer.</w:t>
      </w:r>
    </w:p>
    <w:p>
      <w:pPr>
        <w:pBdr>
          <w:bottom w:val="single" w:sz="6" w:space="1" w:color="AAAAAA"/>
        </w:pBdr>
      </w:pPr>
    </w:p>
    <w:p>
      <w:pPr>
        <w:pStyle w:val="Heading2"/>
        <w:spacing w:after="140"/>
      </w:pPr>
      <w:r>
        <w:t xml:space="preserve">Appendix: case list</w:t>
      </w:r>
    </w:p>
    <w:p>
      <w:pPr>
        <w:spacing w:after="140"/>
      </w:pPr>
      <w:r>
        <w:t xml:space="preserve">All 22 matters screened into the study database are listed. </w:t>
      </w:r>
      <w:r>
        <w:rPr>
          <w:b/>
        </w:rPr>
        <w:t xml:space="preserve">The two marked EXCLUDED are not part of the 20-case analysis</w:t>
      </w:r>
      <w:r>
        <w:t xml:space="preserve">; they are listed so the full screened set can be reconstructed.</w:t>
      </w:r>
    </w:p>
    <w:p>
      <w:pPr>
        <w:numPr>
          <w:ilvl w:val="0"/>
          <w:numId w:val="4"/>
        </w:numPr>
        <w:spacing w:after="60"/>
      </w:pPr>
      <w:r>
        <w:t xml:space="preserve">McDonnell Douglas Corp. v. Green, 411 U.S. 792 (1973) (US Supreme Court)</w:t>
      </w:r>
    </w:p>
    <w:p>
      <w:pPr>
        <w:numPr>
          <w:ilvl w:val="0"/>
          <w:numId w:val="4"/>
        </w:numPr>
        <w:spacing w:after="60"/>
      </w:pPr>
      <w:r>
        <w:t xml:space="preserve">St. Mary’s Honor Center v. Hicks, 509 U.S. 502 (1993). U.S. Supreme Court (US Supreme Court)</w:t>
      </w:r>
    </w:p>
    <w:p>
      <w:pPr>
        <w:numPr>
          <w:ilvl w:val="0"/>
          <w:numId w:val="4"/>
        </w:numPr>
        <w:spacing w:after="60"/>
      </w:pPr>
      <w:r>
        <w:t xml:space="preserve">Gallon v Sigma Aldrich Ltd, UK Employment Tribunal, Case No. 2500506/2017 (2017) (UK Employment Tribunal)</w:t>
      </w:r>
    </w:p>
    <w:p>
      <w:pPr>
        <w:numPr>
          <w:ilvl w:val="0"/>
          <w:numId w:val="4"/>
        </w:numPr>
        <w:spacing w:after="60"/>
      </w:pPr>
      <w:r>
        <w:t xml:space="preserve">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w:t>
      </w:r>
    </w:p>
    <w:p>
      <w:pPr>
        <w:numPr>
          <w:ilvl w:val="0"/>
          <w:numId w:val="4"/>
        </w:numPr>
        <w:spacing w:after="60"/>
      </w:pPr>
      <w:r>
        <w:t xml:space="preserve">Jones v Vale Curtains and Blinds Ltd (Employment Tribunal, Reading, 2024) (UK Employment Tribunal)  Named decision. The tribunal case number is not on file; the decision is identified by party, forum and year.</w:t>
      </w:r>
    </w:p>
    <w:p>
      <w:pPr>
        <w:numPr>
          <w:ilvl w:val="0"/>
          <w:numId w:val="4"/>
        </w:numPr>
        <w:spacing w:after="60"/>
      </w:pPr>
      <w:r>
        <w:t xml:space="preserve">United States Department of Defense, Department of Defense Dependents Schools, Europe and Federal Education Association, 65 FLRA No. 122 (2011) (US Federal Labor Relations Authority)</w:t>
      </w:r>
    </w:p>
    <w:p>
      <w:pPr>
        <w:numPr>
          <w:ilvl w:val="0"/>
          <w:numId w:val="4"/>
        </w:numPr>
        <w:spacing w:after="60"/>
      </w:pPr>
      <w:r>
        <w:t xml:space="preserve">Public citation: Appeal Board No. 636070 (N.Y. Unemployment Insurance Appeal Board, Mar. 5, 2025) (New York Unemployment Insurance Appeal Board)</w:t>
      </w:r>
    </w:p>
    <w:p>
      <w:pPr>
        <w:numPr>
          <w:ilvl w:val="0"/>
          <w:numId w:val="4"/>
        </w:numPr>
        <w:spacing w:after="60"/>
      </w:pPr>
      <w:r>
        <w:t xml:space="preserve">Valentine S. v. U.S. Postal Service, EEOC Appeal No. 2022004565 (Dec. 22, 2022) (US Equal Employment Opportunity Commission)</w:t>
      </w:r>
    </w:p>
    <w:p>
      <w:pPr>
        <w:numPr>
          <w:ilvl w:val="0"/>
          <w:numId w:val="4"/>
        </w:numPr>
        <w:spacing w:after="60"/>
      </w:pPr>
      <w:r>
        <w:t xml:space="preserve">Matter of Gannett Co., Inc. v City of Mount Vernon Police Department, 248 AD3d 1035, 2026 NY Slip Op 02267 (2d Dept 2026) (New York Appellate Division)</w:t>
      </w:r>
    </w:p>
    <w:p>
      <w:pPr>
        <w:numPr>
          <w:ilvl w:val="0"/>
          <w:numId w:val="4"/>
        </w:numPr>
        <w:spacing w:after="60"/>
      </w:pPr>
      <w:r>
        <w:t xml:space="preserve">Matter of Kohler-Hausmann v New York City Police Department, 133 AD3d 437 (1st Dept 2015) (New York Appellate Division)</w:t>
      </w:r>
    </w:p>
    <w:p>
      <w:pPr>
        <w:numPr>
          <w:ilvl w:val="0"/>
          <w:numId w:val="4"/>
        </w:numPr>
        <w:spacing w:after="60"/>
      </w:pPr>
      <w:r>
        <w:t xml:space="preserve">United States Department of Housing and Urban Development and AFGE Local 3320, 73 FLRA No. 67 (Nov. 14, 2022) (US Federal Labor Relations Authority)</w:t>
      </w:r>
    </w:p>
    <w:p>
      <w:pPr>
        <w:numPr>
          <w:ilvl w:val="0"/>
          <w:numId w:val="4"/>
        </w:numPr>
        <w:spacing w:after="60"/>
      </w:pPr>
      <w:r>
        <w:t xml:space="preserve">AFGE Local 4012 and Social Security Administration, Denver, Colorado, 73 FLRA No. 106 (May 26, 2023) (US Federal Labor Relations Authority)</w:t>
      </w:r>
    </w:p>
    <w:p>
      <w:pPr>
        <w:numPr>
          <w:ilvl w:val="0"/>
          <w:numId w:val="4"/>
        </w:numPr>
        <w:spacing w:after="60"/>
      </w:pPr>
      <w:r>
        <w:t xml:space="preserve">International Federation of Professional and Technical Engineers, Local 4 and U.S. Department of the Navy, Portsmouth Naval Shipyard, 73 FLRA No. 94 (2023) (US Federal Labor Relations Authority)</w:t>
      </w:r>
    </w:p>
    <w:p>
      <w:pPr>
        <w:numPr>
          <w:ilvl w:val="0"/>
          <w:numId w:val="4"/>
        </w:numPr>
        <w:spacing w:after="60"/>
      </w:pPr>
      <w:r>
        <w:t xml:space="preserve">Fraternal Order of Police, DC Lodge 1 and U.S. Department of Defense, Pentagon Force Protection Agency, 73 FLRA No. 77 (2023) (US Federal Labor Relations Authority)</w:t>
      </w:r>
    </w:p>
    <w:p>
      <w:pPr>
        <w:numPr>
          <w:ilvl w:val="0"/>
          <w:numId w:val="4"/>
        </w:numPr>
        <w:spacing w:after="60"/>
      </w:pPr>
      <w:r>
        <w:t xml:space="preserve">FOIL-AO-19774 (N.Y. Committee on Open Government, June 29, 2020) (New York Committee on Open Government)  </w:t>
      </w:r>
      <w:r>
        <w:rPr>
          <w:b/>
        </w:rPr>
        <w:t xml:space="preserve">EXCLUDED FROM THE ANALYSIS.</w:t>
      </w:r>
      <w:r>
        <w:t xml:space="preserve"> Public-records advisory opinion, not an employment adjudication. See endnote 2.</w:t>
      </w:r>
    </w:p>
    <w:p>
      <w:pPr>
        <w:numPr>
          <w:ilvl w:val="0"/>
          <w:numId w:val="4"/>
        </w:numPr>
        <w:spacing w:after="60"/>
      </w:pPr>
      <w:r>
        <w:t xml:space="preserve">Matter of Woods v State University of New York, 139 AD3d 1322, 2016 NY Slip Op 04084 (3d Dept 2016) (New York Appellate Division)</w:t>
      </w:r>
    </w:p>
    <w:p>
      <w:pPr>
        <w:numPr>
          <w:ilvl w:val="0"/>
          <w:numId w:val="4"/>
        </w:numPr>
        <w:spacing w:after="60"/>
      </w:pPr>
      <w:r>
        <w:t xml:space="preserve">United States Small Business Administration and American Federation of Government Employees, Local 228, 71 FLRA No. 124 (2020) (US Federal Labor Relations Authority)</w:t>
      </w:r>
    </w:p>
    <w:p>
      <w:pPr>
        <w:numPr>
          <w:ilvl w:val="0"/>
          <w:numId w:val="4"/>
        </w:numPr>
        <w:spacing w:after="60"/>
      </w:pPr>
      <w:r>
        <w:t xml:space="preserve">Appeal Board No. 634916 (N.Y. Unemployment Insurance Appeal Board, Jan. 29, 2025) (New York Unemployment Insurance Appeal Board)</w:t>
      </w:r>
    </w:p>
    <w:p>
      <w:pPr>
        <w:numPr>
          <w:ilvl w:val="0"/>
          <w:numId w:val="4"/>
        </w:numPr>
        <w:spacing w:after="60"/>
      </w:pPr>
      <w:r>
        <w:t xml:space="preserve">Carson v Department of Justice, EEOC Appeal No. 0120100078 (Feb. 16, 2012) (US Equal Employment Opportunity Commission)</w:t>
      </w:r>
    </w:p>
    <w:p>
      <w:pPr>
        <w:numPr>
          <w:ilvl w:val="0"/>
          <w:numId w:val="4"/>
        </w:numPr>
        <w:spacing w:after="60"/>
      </w:pPr>
      <w:r>
        <w:t xml:space="preserve">Appeal Board No. 637062 (N.Y. Unemployment Insurance Appeal Board, July 22, 2025) (New York Unemployment Insurance Appeal Board)</w:t>
      </w:r>
    </w:p>
    <w:p>
      <w:pPr>
        <w:numPr>
          <w:ilvl w:val="0"/>
          <w:numId w:val="4"/>
        </w:numPr>
        <w:spacing w:after="60"/>
      </w:pPr>
      <w:r>
        <w:t xml:space="preserve">Appeal Board No. 638160 (N.Y. Unemployment Insurance Appeal Board, Dec. 4, 2025) (New York Unemployment Insurance Appeal Board)</w:t>
      </w:r>
    </w:p>
    <w:p>
      <w:pPr>
        <w:numPr>
          <w:ilvl w:val="0"/>
          <w:numId w:val="4"/>
        </w:numPr>
        <w:spacing w:after="60"/>
      </w:pPr>
      <w:r>
        <w:t xml:space="preserve">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Organisational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