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Reply to Stacyann Young, 2026-08-09 (second)</w:t>
      </w:r>
    </w:p>
    <w:p>
      <w:pPr>
        <w:spacing w:after="140"/>
      </w:pPr>
      <w:r>
        <w:rPr>
          <w:b/>
        </w:rPr>
        <w:t xml:space="preserve">Status: draft for Phillip to send. Not sent.</w:t>
      </w:r>
    </w:p>
    <w:p>
      <w:pPr>
        <w:spacing w:after="140"/>
      </w:pPr>
      <w:r>
        <w:t xml:space="preserve">She confirmed the manuscript byline, asked for her HPD title out of both Council notes with a background paragraph in its place, supplied that paragraph, and said an attorney friend will re-read her case notes.</w:t>
      </w:r>
    </w:p>
    <w:p>
      <w:pPr>
        <w:pBdr>
          <w:bottom w:val="single" w:sz="6" w:space="1" w:color="AAAAAA"/>
        </w:pBdr>
      </w:pPr>
    </w:p>
    <w:p>
      <w:pPr>
        <w:spacing w:after="140"/>
      </w:pPr>
      <w:r>
        <w:t xml:space="preserve">Stacyann,</w:t>
      </w:r>
    </w:p>
    <w:p>
      <w:pPr>
        <w:spacing w:after="140"/>
      </w:pPr>
      <w:r>
        <w:t xml:space="preserve">Both are done.</w:t>
      </w:r>
    </w:p>
    <w:p>
      <w:pPr>
        <w:spacing w:after="140"/>
      </w:pPr>
      <w:r>
        <w:rPr>
          <w:b/>
        </w:rPr>
        <w:t xml:space="preserve">The manuscript</w:t>
      </w:r>
      <w:r>
        <w:t xml:space="preserve"> now reads </w:t>
      </w:r>
      <w:r>
        <w:rPr>
          <w:i/>
        </w:rPr>
        <w:t xml:space="preserve">Stacyann Young, Independent Researcher</w:t>
      </w:r>
      <w:r>
        <w:t xml:space="preserve">. The disclosure section carries a line recording that you did the work voluntarily and independently on public materials and are named without institutional affiliation at your request. That sentence is there so a journal editor or a reader never has to guess why the affiliation is absent.</w:t>
      </w:r>
    </w:p>
    <w:p>
      <w:pPr>
        <w:spacing w:after="140"/>
      </w:pPr>
      <w:r>
        <w:rPr>
          <w:b/>
        </w:rPr>
        <w:t xml:space="preserve">The Council notes</w:t>
      </w:r>
      <w:r>
        <w:t xml:space="preserve"> use your background paragraph as you wrote it, in both letters, in place of the title. Your name and employer appear nowhere in either. The signature on both is Stacyann Young, Independent Researcher.</w:t>
      </w:r>
    </w:p>
    <w:p>
      <w:pPr>
        <w:spacing w:after="140"/>
      </w:pPr>
      <w:r>
        <w:t xml:space="preserve">One line in the second letter needed rewriting rather than deleting: it previously offered "the operational experience of running a large city FOIL programme", which identifies the agency without naming it. It now reads "two decades of operational experience in municipal public-records administration".</w:t>
      </w:r>
    </w:p>
    <w:p>
      <w:pPr>
        <w:spacing w:after="140"/>
      </w:pPr>
      <w:r>
        <w:t xml:space="preserve">Both letters are attached. Nothing goes to Dr. Frazier or the Council until you tell me they are ready.</w:t>
      </w:r>
    </w:p>
    <w:p>
      <w:pPr>
        <w:spacing w:after="140"/>
      </w:pPr>
      <w:r>
        <w:rPr>
          <w:b/>
        </w:rPr>
        <w:t xml:space="preserve">On the attorney reading your case notes: yes, and it may be worth more than a second opinion.</w:t>
      </w:r>
      <w:r>
        <w:t xml:space="preserve"> The paper's one open weakness is that all 32 reads came from one person. If your friend is willing to do it in a structured way rather than informally, ten of your cases re-read blind would let the paper report inter-rater agreement, which is the first thing a referee will ask for.</w:t>
      </w:r>
    </w:p>
    <w:p>
      <w:pPr>
        <w:spacing w:after="140"/>
      </w:pPr>
      <w:r>
        <w:t xml:space="preserve">What that means in practice: they get ten cases, the public source and a short summary of each, and nothing else. Not your reads, not your notes, not the outcomes, not how many of each category to expect. They answer one question per case and take about two hours. The packet is already built and I can send it the moment you say who it goes to.</w:t>
      </w:r>
    </w:p>
    <w:p>
      <w:pPr>
        <w:spacing w:after="140"/>
      </w:pPr>
      <w:r>
        <w:t xml:space="preserve">If they would rather just read your notes informally, that is useful too and no packet is needed. Either way it is your call.</w:t>
      </w:r>
    </w:p>
    <w:p>
      <w:pPr>
        <w:spacing w:after="140"/>
      </w:pPr>
      <w:r>
        <w:t xml:space="preserve">Phillip</w:t>
      </w:r>
    </w:p>
    <w:p>
      <w:pPr>
        <w:pBdr>
          <w:bottom w:val="single" w:sz="6" w:space="1" w:color="AAAAAA"/>
        </w:pBdr>
      </w:pPr>
    </w:p>
    <w:p>
      <w:pPr>
        <w:pStyle w:val="Heading2"/>
        <w:spacing w:after="140"/>
      </w:pPr>
      <w:r>
        <w:t xml:space="preserve">Attachments</w:t>
      </w:r>
    </w:p>
    <w:p>
      <w:pPr>
        <w:numPr>
          <w:ilvl w:val="0"/>
          <w:numId w:val="1"/>
        </w:numPr>
        <w:spacing w:after="60"/>
      </w:pPr>
      <w:r>
        <w:rPr>
          <w:rFonts w:ascii="Consolas" w:hAnsi="Consolas"/>
        </w:rPr>
        <w:t xml:space="preserve">CFOC_Submission_2026-08-08.docx</w:t>
      </w:r>
      <w:r>
        <w:t xml:space="preserve"> (both letters, rewritten)</w:t>
      </w:r>
    </w:p>
    <w:p>
      <w:pPr>
        <w:numPr>
          <w:ilvl w:val="0"/>
          <w:numId w:val="1"/>
        </w:numPr>
        <w:spacing w:after="60"/>
      </w:pPr>
      <w:r>
        <w:rPr>
          <w:rFonts w:ascii="Consolas" w:hAnsi="Consolas"/>
        </w:rPr>
        <w:t xml:space="preserve">FOIL_Article_Draft.docx</w:t>
      </w:r>
      <w:r>
        <w:t xml:space="preserve"> (author line and disclosure updated)</w:t>
      </w:r>
    </w:p>
    <w:p>
      <w:pPr>
        <w:pStyle w:val="Heading2"/>
        <w:spacing w:after="140"/>
      </w:pPr>
      <w:r>
        <w:t xml:space="preserve">Changes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t xml:space="preserve">Manuscript author line</w:t>
            </w:r>
          </w:p>
        </w:tc>
        <w:tc>
          <w:tcPr>
            <w:tcW w:w="3120" w:type="dxa"/>
          </w:tcPr>
          <w:p>
            <w:pPr>
              <w:spacing w:after="0"/>
            </w:pPr>
            <w:r>
              <w:t xml:space="preserve">Stacy Young, Records Governance Advisor and Public-Records Domain Lead; Deputy Records Access Officer, NYC Department of Housing Preservation and Development</w:t>
            </w:r>
          </w:p>
        </w:tc>
        <w:tc>
          <w:tcPr>
            <w:tcW w:w="3120" w:type="dxa"/>
          </w:tcPr>
          <w:p>
            <w:pPr>
              <w:spacing w:after="0"/>
            </w:pPr>
            <w:r>
              <w:rPr>
                <w:b/>
              </w:rPr>
              <w:t xml:space="preserve">Stacyann Young, Independent Researcher</w:t>
            </w:r>
          </w:p>
        </w:tc>
      </w:tr>
      <w:tr>
        <w:tc>
          <w:tcPr>
            <w:tcW w:w="3120" w:type="dxa"/>
          </w:tcPr>
          <w:p>
            <w:pPr>
              <w:spacing w:after="0"/>
            </w:pPr>
            <w:r>
              <w:t xml:space="preserve">Manuscript disclosure</w:t>
            </w:r>
          </w:p>
        </w:tc>
        <w:tc>
          <w:tcPr>
            <w:tcW w:w="3120" w:type="dxa"/>
          </w:tcPr>
          <w:p>
            <w:pPr>
              <w:spacing w:after="0"/>
            </w:pPr>
            <w:r>
              <w:t xml:space="preserve">generic personal-capacity statement</w:t>
            </w:r>
          </w:p>
        </w:tc>
        <w:tc>
          <w:tcPr>
            <w:tcW w:w="3120" w:type="dxa"/>
          </w:tcPr>
          <w:p>
            <w:pPr>
              <w:spacing w:after="0"/>
            </w:pPr>
            <w:r>
              <w:t xml:space="preserve">adds that S.Y. worked voluntarily and independently on public materials and is named without institutional affiliation at her request</w:t>
            </w:r>
          </w:p>
        </w:tc>
      </w:tr>
      <w:tr>
        <w:tc>
          <w:tcPr>
            <w:tcW w:w="3120" w:type="dxa"/>
          </w:tcPr>
          <w:p>
            <w:pPr>
              <w:spacing w:after="0"/>
            </w:pPr>
            <w:r>
              <w:t xml:space="preserve">Council letter 1, opening</w:t>
            </w:r>
          </w:p>
        </w:tc>
        <w:tc>
          <w:tcPr>
            <w:tcW w:w="3120" w:type="dxa"/>
          </w:tcPr>
          <w:p>
            <w:pPr>
              <w:spacing w:after="0"/>
            </w:pPr>
            <w:r>
              <w:t xml:space="preserve">"I am the Deputy Records Access Officer at the New York City Department of Housing Preservation and Development…"</w:t>
            </w:r>
          </w:p>
        </w:tc>
        <w:tc>
          <w:tcPr>
            <w:tcW w:w="3120" w:type="dxa"/>
          </w:tcPr>
          <w:p>
            <w:pPr>
              <w:spacing w:after="0"/>
            </w:pPr>
            <w:r>
              <w:t xml:space="preserve">her background paragraph, verbatim, plus "I am writing in a personal capacity"</w:t>
            </w:r>
          </w:p>
        </w:tc>
      </w:tr>
      <w:tr>
        <w:tc>
          <w:tcPr>
            <w:tcW w:w="3120" w:type="dxa"/>
          </w:tcPr>
          <w:p>
            <w:pPr>
              <w:spacing w:after="0"/>
            </w:pPr>
            <w:r>
              <w:t xml:space="preserve">Council letter 2, opening</w:t>
            </w:r>
          </w:p>
        </w:tc>
        <w:tc>
          <w:tcPr>
            <w:tcW w:w="3120" w:type="dxa"/>
          </w:tcPr>
          <w:p>
            <w:pPr>
              <w:spacing w:after="0"/>
            </w:pPr>
            <w:r>
              <w:t xml:space="preserve">full title, agency, prior agency roles at TLC and DEP</w:t>
            </w:r>
          </w:p>
        </w:tc>
        <w:tc>
          <w:tcPr>
            <w:tcW w:w="3120" w:type="dxa"/>
          </w:tcPr>
          <w:p>
            <w:pPr>
              <w:spacing w:after="0"/>
            </w:pPr>
            <w:r>
              <w:t xml:space="preserve">her background paragraph, verbatim, keeping the SUNY and NYS Archives certifications</w:t>
            </w:r>
          </w:p>
        </w:tc>
      </w:tr>
      <w:tr>
        <w:tc>
          <w:tcPr>
            <w:tcW w:w="3120" w:type="dxa"/>
          </w:tcPr>
          <w:p>
            <w:pPr>
              <w:spacing w:after="0"/>
            </w:pPr>
            <w:r>
              <w:t xml:space="preserve">Council letter 2, closing offer</w:t>
            </w:r>
          </w:p>
        </w:tc>
        <w:tc>
          <w:tcPr>
            <w:tcW w:w="3120" w:type="dxa"/>
          </w:tcPr>
          <w:p>
            <w:pPr>
              <w:spacing w:after="0"/>
            </w:pPr>
            <w:r>
              <w:t xml:space="preserve">"the operational experience of running a large city FOIL programme"</w:t>
            </w:r>
          </w:p>
        </w:tc>
        <w:tc>
          <w:tcPr>
            <w:tcW w:w="3120" w:type="dxa"/>
          </w:tcPr>
          <w:p>
            <w:pPr>
              <w:spacing w:after="0"/>
            </w:pPr>
            <w:r>
              <w:t xml:space="preserve">"two decades of operational experience in municipal public-records administration"</w:t>
            </w:r>
          </w:p>
        </w:tc>
      </w:tr>
      <w:tr>
        <w:tc>
          <w:tcPr>
            <w:tcW w:w="3120" w:type="dxa"/>
          </w:tcPr>
          <w:p>
            <w:pPr>
              <w:spacing w:after="0"/>
            </w:pPr>
            <w:r>
              <w:t xml:space="preserve">Both signatures</w:t>
            </w:r>
          </w:p>
        </w:tc>
        <w:tc>
          <w:tcPr>
            <w:tcW w:w="3120" w:type="dxa"/>
          </w:tcPr>
          <w:p>
            <w:pPr>
              <w:spacing w:after="0"/>
            </w:pPr>
            <w:r>
              <w:t xml:space="preserve">Stacy Young / Deputy Records Access Officer / NYC Dept of Housing Preservation and Development</w:t>
            </w:r>
          </w:p>
        </w:tc>
        <w:tc>
          <w:tcPr>
            <w:tcW w:w="3120" w:type="dxa"/>
          </w:tcPr>
          <w:p>
            <w:pPr>
              <w:spacing w:after="0"/>
            </w:pPr>
            <w:r>
              <w:rPr>
                <w:b/>
              </w:rPr>
              <w:t xml:space="preserve">Stacyann Young / Independent Researcher</w:t>
            </w:r>
          </w:p>
        </w:tc>
      </w:tr>
    </w:tbl>
    <w:p>
      <w:pPr/>
      <w:r>
        <w:t/>
      </w:r>
    </w:p>
    <w:p>
      <w:pPr>
        <w:pStyle w:val="Heading2"/>
        <w:spacing w:after="140"/>
      </w:pPr>
      <w:r>
        <w:t xml:space="preserve">Verified</w:t>
      </w:r>
    </w:p>
    <w:p>
      <w:pPr>
        <w:spacing w:after="140"/>
      </w:pPr>
      <w:r>
        <w:t xml:space="preserve">Zero occurrences of "Deputy Records Access", "Housing Preservation", "HPD", "Taxi and Limousine", "Environmental Protection" or "Stacy Young" remain in either the manuscript or the Council notes.</w:t>
      </w:r>
    </w:p>
    <w:p>
      <w:pPr>
        <w:pStyle w:val="Heading2"/>
        <w:spacing w:after="140"/>
      </w:pPr>
      <w:r>
        <w:t xml:space="preserve">Open, pending her answer</w:t>
      </w:r>
    </w:p>
    <w:p>
      <w:pPr>
        <w:numPr>
          <w:ilvl w:val="0"/>
          <w:numId w:val="2"/>
        </w:numPr>
        <w:spacing w:after="60"/>
      </w:pPr>
      <w:r>
        <w:rPr>
          <w:b/>
        </w:rPr>
        <w:t xml:space="preserve">Who reads the ten cases blind</w:t>
      </w:r>
      <w:r>
        <w:t xml:space="preserve">, if her attorney friend is willing to do it structured. </w:t>
      </w:r>
      <w:r>
        <w:rPr>
          <w:rFonts w:ascii="Consolas" w:hAnsi="Consolas"/>
        </w:rPr>
        <w:t xml:space="preserve">Blind_Recheck_Packet_E08</w:t>
      </w:r>
      <w:r>
        <w:t xml:space="preserve"> goes to that person, never to her, and </w:t>
      </w:r>
      <w:r>
        <w:rPr>
          <w:rFonts w:ascii="Consolas" w:hAnsi="Consolas"/>
        </w:rPr>
        <w:t xml:space="preserve">Blind_Recheck_KEY_E08.md</w:t>
      </w:r>
      <w:r>
        <w:t xml:space="preserve"> goes to nobody.</w:t>
      </w:r>
    </w:p>
    <w:p>
      <w:pPr>
        <w:numPr>
          <w:ilvl w:val="0"/>
          <w:numId w:val="2"/>
        </w:numPr>
        <w:spacing w:after="60"/>
      </w:pPr>
      <w:r>
        <w:rPr>
          <w:b/>
        </w:rPr>
        <w:t xml:space="preserve">Her approval of the two Council notes</w:t>
      </w:r>
      <w:r>
        <w:t xml:space="preserve"> before either is sent.</w:t>
      </w:r>
    </w:p>
    <w:p>
      <w:pPr>
        <w:numPr>
          <w:ilvl w:val="0"/>
          <w:numId w:val="2"/>
        </w:numPr>
        <w:spacing w:after="60"/>
      </w:pPr>
      <w:r>
        <w:rPr>
          <w:b/>
        </w:rPr>
        <w:t xml:space="preserve">Her approval of the full manuscript</w:t>
      </w:r>
      <w:r>
        <w:t xml:space="preserve"> before submission.</w:t>
      </w:r>
    </w:p>
    <w:p>
      <w:pPr>
        <w:numPr>
          <w:ilvl w:val="0"/>
          <w:numId w:val="2"/>
        </w:numPr>
        <w:spacing w:after="60"/>
      </w:pPr>
      <w:r>
        <w:rPr>
          <w:b/>
        </w:rPr>
        <w:t xml:space="preserve">A quote</w:t>
      </w:r>
      <w:r>
        <w:t xml:space="preserve">, still optional, for the article and the data room.</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