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Georgia" w:cs="Georgia" w:eastAsia="Georgia" w:hAnsi="Georgia"/>
          <w:b/>
          <w:bCs/>
          <w:color w:val="1a1a1a"/>
          <w:sz w:val="40"/>
          <w:szCs w:val="40"/>
        </w:rPr>
        <w:t xml:space="preserve">Detecting Decision Reconstruction Risk in AI-Assisted Documentation: A Record-Level Review Standard and Its Pre-Registered Validation</w:t>
      </w:r>
    </w:p>
    <w:p>
      <w:pPr>
        <w:spacing w:after="140" w:line="300"/>
        <w:jc w:val="left"/>
      </w:pPr>
      <w:r>
        <w:rPr>
          <w:rFonts w:ascii="Georgia" w:cs="Georgia" w:eastAsia="Georgia" w:hAnsi="Georgia"/>
          <w:b/>
          <w:bCs/>
          <w:i w:val="false"/>
          <w:iCs w:val="false"/>
          <w:sz w:val="22"/>
          <w:szCs w:val="22"/>
        </w:rPr>
        <w:t xml:space="preserve">Authors:</w:t>
      </w:r>
      <w:r>
        <w:rPr>
          <w:rFonts w:ascii="Georgia" w:cs="Georgia" w:eastAsia="Georgia" w:hAnsi="Georgia"/>
          <w:b w:val="false"/>
          <w:bCs w:val="false"/>
          <w:i w:val="false"/>
          <w:iCs w:val="false"/>
          <w:sz w:val="22"/>
          <w:szCs w:val="22"/>
        </w:rPr>
        <w:t xml:space="preserve"> Phillip Wikes (Creator of the Justification Review Standard; former Lead Civil Rights Officer, Maryland Commission on Civil Rights) and Ubayet Hossain, FRM (Associate Director, Model Validation, KPMG India).</w:t>
      </w:r>
    </w:p>
    <w:p>
      <w:pPr>
        <w:spacing w:after="140" w:line="300"/>
        <w:jc w:val="left"/>
      </w:pPr>
      <w:r>
        <w:rPr>
          <w:rFonts w:ascii="Georgia" w:cs="Georgia" w:eastAsia="Georgia" w:hAnsi="Georgia"/>
          <w:b/>
          <w:bCs/>
          <w:i w:val="false"/>
          <w:iCs w:val="false"/>
          <w:sz w:val="22"/>
          <w:szCs w:val="22"/>
        </w:rPr>
        <w:t xml:space="preserve">Author contributions:</w:t>
      </w:r>
      <w:r>
        <w:rPr>
          <w:rFonts w:ascii="Georgia" w:cs="Georgia" w:eastAsia="Georgia" w:hAnsi="Georgia"/>
          <w:b w:val="false"/>
          <w:bCs w:val="false"/>
          <w:i w:val="false"/>
          <w:iCs w:val="false"/>
          <w:sz w:val="22"/>
          <w:szCs w:val="22"/>
        </w:rPr>
        <w:t xml:space="preserve"> P.W. conceived Decision Reconstruction Risk and the JRS review method, developed the paper's normative framing (that a record must remain understandable to the people a decision affects, and the rationale for an internationally and linguistically diverse reviewer panel), constructed the validation corpus and the verified answer key, assembled the international reviewer panel, and led the writing. U.H. designed the reliability and validation framework: the reference-panel design, the chance-corrected agreement statistics, and the pre-registered decision floors and analysis plan.</w:t>
      </w:r>
    </w:p>
    <w:p>
      <w:pPr>
        <w:spacing w:after="140" w:line="300"/>
        <w:jc w:val="left"/>
      </w:pPr>
      <w:r>
        <w:rPr>
          <w:rFonts w:ascii="Georgia" w:cs="Georgia" w:eastAsia="Georgia" w:hAnsi="Georgia"/>
          <w:b/>
          <w:bCs/>
          <w:i w:val="false"/>
          <w:iCs w:val="false"/>
          <w:sz w:val="22"/>
          <w:szCs w:val="22"/>
        </w:rPr>
        <w:t xml:space="preserve">Target journal:</w:t>
      </w:r>
      <w:r>
        <w:rPr>
          <w:rFonts w:ascii="Georgia" w:cs="Georgia" w:eastAsia="Georgia" w:hAnsi="Georgia"/>
          <w:b w:val="false"/>
          <w:bCs w:val="false"/>
          <w:i w:val="false"/>
          <w:iCs w:val="false"/>
          <w:sz w:val="22"/>
          <w:szCs w:val="22"/>
        </w:rPr>
        <w:t xml:space="preserve"> *AI and Ethics* (Springer). Fit: the journal's scope is the ethics and governance of AI in practice, and it publishes both original research and reflective perspective articles, which suits a paper that motivates a governance construct from field experience and then validates it empirically. Alternatives if needed: *AI &amp; Society* (Springer); *Journal of Responsible Technology* (Elsevier, open access); or a FAccT / AIES workshop for speed.</w:t>
      </w:r>
    </w:p>
    <w:p>
      <w:pPr>
        <w:spacing w:after="140" w:line="300"/>
        <w:jc w:val="left"/>
      </w:pPr>
      <w:r>
        <w:rPr>
          <w:rFonts w:ascii="Georgia" w:cs="Georgia" w:eastAsia="Georgia" w:hAnsi="Georgia"/>
          <w:b/>
          <w:bCs/>
          <w:i w:val="false"/>
          <w:iCs w:val="false"/>
          <w:sz w:val="22"/>
          <w:szCs w:val="22"/>
        </w:rPr>
        <w:t xml:space="preserve">Status:</w:t>
      </w:r>
      <w:r>
        <w:rPr>
          <w:rFonts w:ascii="Georgia" w:cs="Georgia" w:eastAsia="Georgia" w:hAnsi="Georgia"/>
          <w:b w:val="false"/>
          <w:bCs w:val="false"/>
          <w:i w:val="false"/>
          <w:iCs w:val="false"/>
          <w:sz w:val="22"/>
          <w:szCs w:val="22"/>
        </w:rPr>
        <w:t xml:space="preserve"> Working draft, validation phase. The design, materials, and pre-registered analysis plan are complete. Two supporting rungs are now reported with complete data: cross-vendor reproducibility (three AI providers) and inter-rater reliability (expert and trained panels). The two primary analyses remain gated: as of 1 August 2026 the detection panel is partially collected (14 registered reviewers have completed the full set, one more at 22 of 24) and the randomized comparison (Arm B) has 11 completed participants (4 in the JRS condition, 7 in the baseline), the JRS arm still short of the pre-registered per-arm target and not yet run to analysis. No inferential result for the primary analyses is stated until the pre-registered sample and thresholds are met. All figures cited are verified against the study database, not memory.</w:t>
      </w:r>
    </w:p>
    <w:p>
      <w:pPr>
        <w:spacing w:after="140" w:line="300"/>
        <w:jc w:val="left"/>
      </w:pPr>
      <w:r>
        <w:rPr>
          <w:rFonts w:ascii="Georgia" w:cs="Georgia" w:eastAsia="Georgia" w:hAnsi="Georgia"/>
          <w:b/>
          <w:bCs/>
          <w:i w:val="false"/>
          <w:iCs w:val="false"/>
          <w:sz w:val="22"/>
          <w:szCs w:val="22"/>
        </w:rPr>
        <w:t xml:space="preserve">Format note (for the author):</w:t>
      </w:r>
      <w:r>
        <w:rPr>
          <w:rFonts w:ascii="Georgia" w:cs="Georgia" w:eastAsia="Georgia" w:hAnsi="Georgia"/>
          <w:b w:val="false"/>
          <w:bCs w:val="false"/>
          <w:i w:val="false"/>
          <w:iCs w:val="false"/>
          <w:sz w:val="22"/>
          <w:szCs w:val="22"/>
        </w:rPr>
        <w:t xml:space="preserve"> the opening is a short conceptual framing that reads cleanly as either a *Perspective* or a strict empirical *Original Research* submission; both share the same Methods and Results.</w:t>
      </w:r>
    </w:p>
    <w:p>
      <w:pPr>
        <w:spacing w:after="120"/>
      </w:pPr>
    </w:p>
    <w:p>
      <w:pPr>
        <w:pStyle w:val="Heading1"/>
        <w:keepNext/>
        <w:spacing w:after="100" w:before="260"/>
      </w:pPr>
      <w:r>
        <w:rPr>
          <w:rFonts w:ascii="Georgia" w:cs="Georgia" w:eastAsia="Georgia" w:hAnsi="Georgia"/>
          <w:b/>
          <w:bCs/>
          <w:color w:val="1a1a1a"/>
          <w:sz w:val="26"/>
          <w:szCs w:val="26"/>
        </w:rPr>
        <w:t xml:space="preserve">Abstract</w:t>
      </w:r>
    </w:p>
    <w:p>
      <w:pPr>
        <w:spacing w:after="140" w:line="300"/>
        <w:jc w:val="left"/>
      </w:pPr>
      <w:r>
        <w:rPr>
          <w:rFonts w:ascii="Georgia" w:cs="Georgia" w:eastAsia="Georgia" w:hAnsi="Georgia"/>
          <w:b/>
          <w:bCs/>
          <w:i w:val="false"/>
          <w:iCs w:val="false"/>
          <w:sz w:val="22"/>
          <w:szCs w:val="22"/>
        </w:rPr>
        <w:t xml:space="preserve">Background.</w:t>
      </w:r>
      <w:r>
        <w:rPr>
          <w:rFonts w:ascii="Georgia" w:cs="Georgia" w:eastAsia="Georgia" w:hAnsi="Georgia"/>
          <w:b w:val="false"/>
          <w:bCs w:val="false"/>
          <w:i w:val="false"/>
          <w:iCs w:val="false"/>
          <w:sz w:val="22"/>
          <w:szCs w:val="22"/>
        </w:rPr>
        <w:t xml:space="preserve"> Generative AI increasingly drafts high-stakes corporate, administrative, and investigative records. Fluent text can read as complete and well supported while the evidentiary basis for its conclusions is absent from the record itself. A record whose conclusion cannot be reconstructed from the record alone cannot be independently examined or defended. We name this property Decision Reconstruction Risk (DRR).</w:t>
      </w:r>
    </w:p>
    <w:p>
      <w:pPr>
        <w:spacing w:after="140" w:line="300"/>
        <w:jc w:val="left"/>
      </w:pPr>
      <w:r>
        <w:rPr>
          <w:rFonts w:ascii="Georgia" w:cs="Georgia" w:eastAsia="Georgia" w:hAnsi="Georgia"/>
          <w:b/>
          <w:bCs/>
          <w:i w:val="false"/>
          <w:iCs w:val="false"/>
          <w:sz w:val="22"/>
          <w:szCs w:val="22"/>
        </w:rPr>
        <w:t xml:space="preserve">Objective.</w:t>
      </w:r>
      <w:r>
        <w:rPr>
          <w:rFonts w:ascii="Georgia" w:cs="Georgia" w:eastAsia="Georgia" w:hAnsi="Georgia"/>
          <w:b w:val="false"/>
          <w:bCs w:val="false"/>
          <w:i w:val="false"/>
          <w:iCs w:val="false"/>
          <w:sz w:val="22"/>
          <w:szCs w:val="22"/>
        </w:rPr>
        <w:t xml:space="preserve"> This paper defines DRR as a governance-relevant property of records, introduces the Justification Review Standard (JRS) as a record-level review method for detecting it, and describes a pre-registered program to test two questions: (1) is DRR a detectable property of AI-assisted records, and (2) does the JRS method improve its detection relative to unaided expert judgment?</w:t>
      </w:r>
    </w:p>
    <w:p>
      <w:pPr>
        <w:spacing w:after="140" w:line="300"/>
        <w:jc w:val="left"/>
      </w:pPr>
      <w:r>
        <w:rPr>
          <w:rFonts w:ascii="Georgia" w:cs="Georgia" w:eastAsia="Georgia" w:hAnsi="Georgia"/>
          <w:b/>
          <w:bCs/>
          <w:i w:val="false"/>
          <w:iCs w:val="false"/>
          <w:sz w:val="22"/>
          <w:szCs w:val="22"/>
        </w:rPr>
        <w:t xml:space="preserve">Methods.</w:t>
      </w:r>
      <w:r>
        <w:rPr>
          <w:rFonts w:ascii="Georgia" w:cs="Georgia" w:eastAsia="Georgia" w:hAnsi="Georgia"/>
          <w:b w:val="false"/>
          <w:bCs w:val="false"/>
          <w:i w:val="false"/>
          <w:iCs w:val="false"/>
          <w:sz w:val="22"/>
          <w:szCs w:val="22"/>
        </w:rPr>
        <w:t xml:space="preserve"> A balanced corpus of 24 constructed, de-identified AI-generated records (12 grounded, 12 unsupported) is judged by an international panel of experienced reviewers against a verified answer key that was documented in advance and independently reproduced. A randomized comparison (Arm B) assigns fresh, JRS-naive participants to judge the same records either with the five JRS conditions or with a general prompt only, so that any accuracy difference is attributable to the standard rather than to expertise. Analysis follows a pre-registered plan with decision floors and chance-corrected agreement statistics.</w:t>
      </w:r>
    </w:p>
    <w:p>
      <w:pPr>
        <w:spacing w:after="140" w:line="300"/>
        <w:jc w:val="left"/>
      </w:pPr>
      <w:r>
        <w:rPr>
          <w:rFonts w:ascii="Georgia" w:cs="Georgia" w:eastAsia="Georgia" w:hAnsi="Georgia"/>
          <w:b/>
          <w:bCs/>
          <w:i w:val="false"/>
          <w:iCs w:val="false"/>
          <w:sz w:val="22"/>
          <w:szCs w:val="22"/>
        </w:rPr>
        <w:t xml:space="preserve">Supporting results (complete).</w:t>
      </w:r>
      <w:r>
        <w:rPr>
          <w:rFonts w:ascii="Georgia" w:cs="Georgia" w:eastAsia="Georgia" w:hAnsi="Georgia"/>
          <w:b w:val="false"/>
          <w:bCs w:val="false"/>
          <w:i w:val="false"/>
          <w:iCs w:val="false"/>
          <w:sz w:val="22"/>
          <w:szCs w:val="22"/>
        </w:rPr>
        <w:t xml:space="preserve"> Two supporting analyses are reported. In a cross-vendor reproducibility test, three AI systems from three different providers (Anthropic, OpenAI, and Google) applied the JRS read to the same constructed records and agreed at a mean pairwise rate of 84 percent across 15 records. In a reliability test, independent expert and trained-reviewer panels applied the five conditions to a shared 10-record set; expert agreement reached Gwet's AC1 of 0.74 (95 percent confidence interval 0.40 to 1.00), in the substantial range, with marginal-sensitive coefficients and per-condition values reported alongside. These results support consistent application of the standard by independent machines and independent experts; they do not by themselves establish detection accuracy.</w:t>
      </w:r>
    </w:p>
    <w:p>
      <w:pPr>
        <w:spacing w:after="140" w:line="300"/>
        <w:jc w:val="left"/>
      </w:pPr>
      <w:r>
        <w:rPr>
          <w:rFonts w:ascii="Georgia" w:cs="Georgia" w:eastAsia="Georgia" w:hAnsi="Georgia"/>
          <w:b/>
          <w:bCs/>
          <w:i w:val="false"/>
          <w:iCs w:val="false"/>
          <w:sz w:val="22"/>
          <w:szCs w:val="22"/>
        </w:rPr>
        <w:t xml:space="preserve">Primary results.</w:t>
      </w:r>
      <w:r>
        <w:rPr>
          <w:rFonts w:ascii="Georgia" w:cs="Georgia" w:eastAsia="Georgia" w:hAnsi="Georgia"/>
          <w:b w:val="false"/>
          <w:bCs w:val="false"/>
          <w:i w:val="false"/>
          <w:iCs w:val="false"/>
          <w:sz w:val="22"/>
          <w:szCs w:val="22"/>
        </w:rPr>
        <w:t xml:space="preserve"> To be completed. Reporting of the detection and randomized-comparison analyses is gated on the pre-registered sample and thresholds; current data are directional only and are not interpreted here.</w:t>
      </w:r>
    </w:p>
    <w:p>
      <w:pPr>
        <w:spacing w:after="140" w:line="300"/>
        <w:jc w:val="left"/>
      </w:pPr>
      <w:r>
        <w:rPr>
          <w:rFonts w:ascii="Georgia" w:cs="Georgia" w:eastAsia="Georgia" w:hAnsi="Georgia"/>
          <w:b/>
          <w:bCs/>
          <w:i w:val="false"/>
          <w:iCs w:val="false"/>
          <w:sz w:val="22"/>
          <w:szCs w:val="22"/>
        </w:rPr>
        <w:t xml:space="preserve">Contribution.</w:t>
      </w:r>
      <w:r>
        <w:rPr>
          <w:rFonts w:ascii="Georgia" w:cs="Georgia" w:eastAsia="Georgia" w:hAnsi="Georgia"/>
          <w:b w:val="false"/>
          <w:bCs w:val="false"/>
          <w:i w:val="false"/>
          <w:iCs w:val="false"/>
          <w:sz w:val="22"/>
          <w:szCs w:val="22"/>
        </w:rPr>
        <w:t xml:space="preserve"> DRR names a documentation-governance problem that model-centric AI governance does not capture, and JRS offers a measurable, workflow-independent control for it. The validation design is offered as a template for evaluating documentation-quality controls in AI-assisted environments.</w:t>
      </w:r>
    </w:p>
    <w:p>
      <w:pPr>
        <w:spacing w:after="140" w:line="300"/>
        <w:jc w:val="left"/>
      </w:pPr>
      <w:r>
        <w:rPr>
          <w:rFonts w:ascii="Georgia" w:cs="Georgia" w:eastAsia="Georgia" w:hAnsi="Georgia"/>
          <w:b/>
          <w:bCs/>
          <w:i w:val="false"/>
          <w:iCs w:val="false"/>
          <w:sz w:val="22"/>
          <w:szCs w:val="22"/>
        </w:rPr>
        <w:t xml:space="preserve">Keywords:</w:t>
      </w:r>
      <w:r>
        <w:rPr>
          <w:rFonts w:ascii="Georgia" w:cs="Georgia" w:eastAsia="Georgia" w:hAnsi="Georgia"/>
          <w:b w:val="false"/>
          <w:bCs w:val="false"/>
          <w:i w:val="false"/>
          <w:iCs w:val="false"/>
          <w:sz w:val="22"/>
          <w:szCs w:val="22"/>
        </w:rPr>
        <w:t xml:space="preserve"> AI governance; documentation risk; accountability; decision defensibility; record-level review; responsible AI.</w:t>
      </w:r>
    </w:p>
    <w:p>
      <w:pPr>
        <w:spacing w:after="120"/>
      </w:pPr>
    </w:p>
    <w:p>
      <w:pPr>
        <w:pStyle w:val="Heading1"/>
        <w:keepNext/>
        <w:spacing w:after="100" w:before="260"/>
      </w:pPr>
      <w:r>
        <w:rPr>
          <w:rFonts w:ascii="Georgia" w:cs="Georgia" w:eastAsia="Georgia" w:hAnsi="Georgia"/>
          <w:b/>
          <w:bCs/>
          <w:color w:val="1a1a1a"/>
          <w:sz w:val="26"/>
          <w:szCs w:val="26"/>
        </w:rPr>
        <w:t xml:space="preserve">1. Introduction</w:t>
      </w:r>
    </w:p>
    <w:p>
      <w:pPr>
        <w:spacing w:after="140" w:line="300"/>
        <w:jc w:val="left"/>
      </w:pPr>
      <w:r>
        <w:rPr>
          <w:rFonts w:ascii="Georgia" w:cs="Georgia" w:eastAsia="Georgia" w:hAnsi="Georgia"/>
          <w:b w:val="false"/>
          <w:bCs w:val="false"/>
          <w:i w:val="false"/>
          <w:iCs w:val="false"/>
          <w:sz w:val="22"/>
          <w:szCs w:val="22"/>
        </w:rPr>
        <w:t xml:space="preserve">In accountability settings, a record is only as useful as the ability of the people it concerns to understand it. A determination that the affected person cannot follow cannot be questioned, corrected, or trusted, so accessibility is part of a record's quality rather than something separate from it: a record written in language the affected person cannot read, or reasoned in steps they cannot follow, fails the same test a later reviewer would apply. A record is also only as resilient as the range of people who scrutinize it. A file that survives review by a single reviewer, in one language, within one legal culture, has not truly been tested, which is why this work is stress-tested through an international panel of professionals spanning many countries, languages, and domains.</w:t>
      </w:r>
    </w:p>
    <w:p>
      <w:pPr>
        <w:spacing w:after="140" w:line="300"/>
        <w:jc w:val="left"/>
      </w:pPr>
      <w:r>
        <w:rPr>
          <w:rFonts w:ascii="Georgia" w:cs="Georgia" w:eastAsia="Georgia" w:hAnsi="Georgia"/>
          <w:b w:val="false"/>
          <w:bCs w:val="false"/>
          <w:i w:val="false"/>
          <w:iCs w:val="false"/>
          <w:sz w:val="22"/>
          <w:szCs w:val="22"/>
        </w:rPr>
        <w:t xml:space="preserve">Today, as generative AI increasingly automates the drafting of high-stakes corporate and investigative records, we face an unprecedented crisis of accessibility and accountability. The same fluency that makes AI-assisted drafting attractive also makes its output difficult to interrogate. A model can produce a record that reads as thorough, professional, and complete, while the evidence that would justify its conclusions never appears on the page. When the author who held that evidence in memory is no longer available, and the record must be examined on its own, the record may simply fail to explain itself.</w:t>
      </w:r>
    </w:p>
    <w:p>
      <w:pPr>
        <w:spacing w:after="140" w:line="300"/>
        <w:jc w:val="left"/>
      </w:pPr>
      <w:r>
        <w:rPr>
          <w:rFonts w:ascii="Georgia" w:cs="Georgia" w:eastAsia="Georgia" w:hAnsi="Georgia"/>
          <w:b w:val="false"/>
          <w:bCs w:val="false"/>
          <w:i w:val="false"/>
          <w:iCs w:val="false"/>
          <w:sz w:val="22"/>
          <w:szCs w:val="22"/>
        </w:rPr>
        <w:t xml:space="preserve">We call this property Decision Reconstruction Risk (DRR): the condition in which a record cannot, on its own terms, allow an independent reviewer to reconstruct the basis for a consequential decision. DRR is not a claim that a decision was wrong. It is a claim that the decision cannot be shown to be right from the record. In a civil rights intake, an employment determination, a compliance finding, or a public-records decision, that gap is the difference between a record that can be defended and one that cannot.</w:t>
      </w:r>
    </w:p>
    <w:p>
      <w:pPr>
        <w:spacing w:after="140" w:line="300"/>
        <w:jc w:val="left"/>
      </w:pPr>
      <w:r>
        <w:rPr>
          <w:rFonts w:ascii="Georgia" w:cs="Georgia" w:eastAsia="Georgia" w:hAnsi="Georgia"/>
          <w:b w:val="false"/>
          <w:bCs w:val="false"/>
          <w:i w:val="false"/>
          <w:iCs w:val="false"/>
          <w:sz w:val="22"/>
          <w:szCs w:val="22"/>
        </w:rPr>
        <w:t xml:space="preserve">The stakes of this gap fall on two parties at once. For the person the record describes, an unreconstructable record removes the practical ability to understand a decision that touches their rights, livelihood, or dignity, and to contest it on fair terms; accountability to affected people begins with a record that can explain why. For the organization that produced it, the same gap is a latent liability: a record that cannot be reconstructed cannot be defended when it is later tested by a complaint, an audit, an investigation, a regulator, or a court. DRR is unusual among governance problems in that the individual's right to an explanation and the institution's ability to defend its own decisions are threatened by one and the same defect. A control that closes the gap therefore serves both, and we motivate this work accordingly: for the people affected by records and for the organizations accountable for them.</w:t>
      </w:r>
    </w:p>
    <w:p>
      <w:pPr>
        <w:spacing w:after="140" w:line="300"/>
        <w:jc w:val="left"/>
      </w:pPr>
      <w:r>
        <w:rPr>
          <w:rFonts w:ascii="Georgia" w:cs="Georgia" w:eastAsia="Georgia" w:hAnsi="Georgia"/>
          <w:b w:val="false"/>
          <w:bCs w:val="false"/>
          <w:i w:val="false"/>
          <w:iCs w:val="false"/>
          <w:sz w:val="22"/>
          <w:szCs w:val="22"/>
        </w:rPr>
        <w:t xml:space="preserve">Most of the AI governance conversation addresses model risk: bias, robustness, security, and the behavior of the system itself. This paper addresses a complementary and under-examined problem: documentation risk, which arises after the model has assisted with drafting and lives in the record it helped produce. Documentation risk is workflow-independent. It does not matter whether the record was produced by a person, by a person assisted by AI, or by an automated pipeline. What matters is whether the resulting record can be independently reconstructed and defended.</w:t>
      </w:r>
    </w:p>
    <w:p>
      <w:pPr>
        <w:spacing w:after="140" w:line="300"/>
        <w:jc w:val="left"/>
      </w:pPr>
      <w:r>
        <w:rPr>
          <w:rFonts w:ascii="Georgia" w:cs="Georgia" w:eastAsia="Georgia" w:hAnsi="Georgia"/>
          <w:b w:val="false"/>
          <w:bCs w:val="false"/>
          <w:i w:val="false"/>
          <w:iCs w:val="false"/>
          <w:sz w:val="22"/>
          <w:szCs w:val="22"/>
        </w:rPr>
        <w:t xml:space="preserve">This paper makes three contributions. First, it defines DRR as a governance-relevant, measurable property of records rather than an abstract concern. Second, it introduces the Justification Review Standard (JRS), a record-level review method that asks a single question of any record: can a later, independent reviewer reconstruct how the conclusion was reached from the record alone? Third, it describes a pre-registered validation program designed to test whether DRR is detectable and whether JRS improves its detection relative to unaided expert judgment, including a randomized comparison that isolates the value of the standard itself. Consistent with the validation-phase status of this work, we state the design and the pre-registered analysis plan in full and we do not report inferential results until the pre-registered sample and thresholds are met.</w:t>
      </w:r>
    </w:p>
    <w:p>
      <w:pPr>
        <w:pStyle w:val="Heading1"/>
        <w:keepNext/>
        <w:spacing w:after="100" w:before="260"/>
      </w:pPr>
      <w:r>
        <w:rPr>
          <w:rFonts w:ascii="Georgia" w:cs="Georgia" w:eastAsia="Georgia" w:hAnsi="Georgia"/>
          <w:b/>
          <w:bCs/>
          <w:color w:val="1a1a1a"/>
          <w:sz w:val="26"/>
          <w:szCs w:val="26"/>
        </w:rPr>
        <w:t xml:space="preserve">2. Background: documentation risk and the reconstruction gap</w:t>
      </w:r>
    </w:p>
    <w:p>
      <w:pPr>
        <w:spacing w:after="140" w:line="300"/>
        <w:jc w:val="left"/>
      </w:pPr>
      <w:r>
        <w:rPr>
          <w:rFonts w:ascii="Georgia" w:cs="Georgia" w:eastAsia="Georgia" w:hAnsi="Georgia"/>
          <w:b w:val="false"/>
          <w:bCs w:val="false"/>
          <w:i w:val="false"/>
          <w:iCs w:val="false"/>
          <w:sz w:val="22"/>
          <w:szCs w:val="22"/>
        </w:rPr>
        <w:t xml:space="preserve">Accountability regimes in employment, housing, civil rights, public records, healthcare compliance, and financial supervision share a common assumption: that a consequential decision leaves behind a record from which its basis can be reconstructed. Appeals, audits, and litigation all depend on this. When a determination is challenged, the reviewer does not re-interview the decision-maker's memory. The reviewer reads the record.</w:t>
      </w:r>
    </w:p>
    <w:p>
      <w:pPr>
        <w:spacing w:after="140" w:line="300"/>
        <w:jc w:val="left"/>
      </w:pPr>
      <w:r>
        <w:rPr>
          <w:rFonts w:ascii="Georgia" w:cs="Georgia" w:eastAsia="Georgia" w:hAnsi="Georgia"/>
          <w:b w:val="false"/>
          <w:bCs w:val="false"/>
          <w:i w:val="false"/>
          <w:iCs w:val="false"/>
          <w:sz w:val="22"/>
          <w:szCs w:val="22"/>
        </w:rPr>
        <w:t xml:space="preserve">Generative AI stresses this assumption in a specific way. Language models are trained to produce fluent, plausible, well-formed text. Fluency and evidentiary grounding are different properties, and a model optimizes the first without guaranteeing the second. The result is a class of records that are convincing on their surface and hollow underneath: the conclusion is stated confidently, the prose is professional, and the reasoning appears present, yet the specific facts, sources, dates, and inferential steps that would let a reader verify the conclusion are missing. Such a record reads as if it is well founded. It is not.</w:t>
      </w:r>
    </w:p>
    <w:p>
      <w:pPr>
        <w:spacing w:after="140" w:line="300"/>
        <w:jc w:val="left"/>
      </w:pPr>
      <w:r>
        <w:rPr>
          <w:rFonts w:ascii="Georgia" w:cs="Georgia" w:eastAsia="Georgia" w:hAnsi="Georgia"/>
          <w:b w:val="false"/>
          <w:bCs w:val="false"/>
          <w:i w:val="false"/>
          <w:iCs w:val="false"/>
          <w:sz w:val="22"/>
          <w:szCs w:val="22"/>
        </w:rPr>
        <w:t xml:space="preserve">Existing AI governance instruments (for example, model risk frameworks, impact assessments, and technology inventories) largely measure the system and the process. They do not measure whether the resulting record is independently reviewable. That is the measurement gap this work addresses. DRR is proposed as an outcome-quality property of the record that can be assessed regardless of the tool used to produce it, and that sits alongside, not in place of, model-centric controls.</w:t>
      </w:r>
    </w:p>
    <w:p>
      <w:pPr>
        <w:spacing w:after="140" w:line="300"/>
        <w:jc w:val="left"/>
      </w:pPr>
      <w:r>
        <w:rPr>
          <w:rFonts w:ascii="Georgia" w:cs="Georgia" w:eastAsia="Georgia" w:hAnsi="Georgia"/>
          <w:b w:val="false"/>
          <w:bCs w:val="false"/>
          <w:i w:val="false"/>
          <w:iCs w:val="false"/>
          <w:sz w:val="22"/>
          <w:szCs w:val="22"/>
        </w:rPr>
        <w:t xml:space="preserve">### 2.1 The record and the person it describes</w:t>
      </w:r>
    </w:p>
    <w:p>
      <w:pPr>
        <w:spacing w:after="140" w:line="300"/>
        <w:jc w:val="left"/>
      </w:pPr>
      <w:r>
        <w:rPr>
          <w:rFonts w:ascii="Georgia" w:cs="Georgia" w:eastAsia="Georgia" w:hAnsi="Georgia"/>
          <w:b w:val="false"/>
          <w:bCs w:val="false"/>
          <w:i w:val="false"/>
          <w:iCs w:val="false"/>
          <w:sz w:val="22"/>
          <w:szCs w:val="22"/>
        </w:rPr>
        <w:t xml:space="preserve">Reconstructability is usually argued for in institutional terms: a defensible file, an auditable trail, a record that survives litigation. It has an equally important second face. A record is also the only account the affected person may ever receive of a decision that shaped their employment, housing, benefits, or access to justice, and a record that cannot be reconstructed cannot be understood or fairly questioned by the person it most concerns. Accessibility is part of this property, not separate from it: a record written in language the affected person cannot read, or reasoned in steps they cannot follow, fails the same reconstruction test that a court or regulator would later apply. Documentation quality is therefore not only a matter of organizational risk but of whether people can understand the decisions made about them, which is why this study recruited an internationally and linguistically diverse reviewer panel rather than a single-jurisdiction one.</w:t>
      </w:r>
    </w:p>
    <w:p>
      <w:pPr>
        <w:pStyle w:val="Heading1"/>
        <w:keepNext/>
        <w:spacing w:after="100" w:before="260"/>
      </w:pPr>
      <w:r>
        <w:rPr>
          <w:rFonts w:ascii="Georgia" w:cs="Georgia" w:eastAsia="Georgia" w:hAnsi="Georgia"/>
          <w:b/>
          <w:bCs/>
          <w:color w:val="1a1a1a"/>
          <w:sz w:val="26"/>
          <w:szCs w:val="26"/>
        </w:rPr>
        <w:t xml:space="preserve">3. The Justification Review Standard (JRS)</w:t>
      </w:r>
    </w:p>
    <w:p>
      <w:pPr>
        <w:spacing w:after="140" w:line="300"/>
        <w:jc w:val="left"/>
      </w:pPr>
      <w:r>
        <w:rPr>
          <w:rFonts w:ascii="Georgia" w:cs="Georgia" w:eastAsia="Georgia" w:hAnsi="Georgia"/>
          <w:b w:val="false"/>
          <w:bCs w:val="false"/>
          <w:i w:val="false"/>
          <w:iCs w:val="false"/>
          <w:sz w:val="22"/>
          <w:szCs w:val="22"/>
        </w:rPr>
        <w:t xml:space="preserve">JRS is a record-level, pre-finalization review method. It evaluates a single record against five conditions and yields a three-level read.</w:t>
      </w:r>
    </w:p>
    <w:p>
      <w:pPr>
        <w:spacing w:after="140" w:line="300"/>
        <w:jc w:val="left"/>
      </w:pPr>
      <w:r>
        <w:rPr>
          <w:rFonts w:ascii="Georgia" w:cs="Georgia" w:eastAsia="Georgia" w:hAnsi="Georgia"/>
          <w:b/>
          <w:bCs/>
          <w:i w:val="false"/>
          <w:iCs w:val="false"/>
          <w:sz w:val="22"/>
          <w:szCs w:val="22"/>
        </w:rPr>
        <w:t xml:space="preserve">The five conditions.</w:t>
      </w:r>
      <w:r>
        <w:rPr>
          <w:rFonts w:ascii="Georgia" w:cs="Georgia" w:eastAsia="Georgia" w:hAnsi="Georgia"/>
          <w:b w:val="false"/>
          <w:bCs w:val="false"/>
          <w:i w:val="false"/>
          <w:iCs w:val="false"/>
          <w:sz w:val="22"/>
          <w:szCs w:val="22"/>
        </w:rPr>
        <w:t xml:space="preserve"> (1) Record self-sufficiency (reconstructability): the record allows an independent reviewer to reconstruct how the conclusion was reached from the record alone. (2) Evidentiary anchoring (basis identification): the record identifies the basis for its conclusions. (3) Chronological integrity: dates, sequence, and sources hold together when read cold. (4) Decision-process traceability: the reasoning from evidence to conclusion can be followed, and the responsible parties are identifiable. (5) Evidentiary sufficiency: the record contains enough to support the weight of the decision.</w:t>
      </w:r>
    </w:p>
    <w:p>
      <w:pPr>
        <w:spacing w:after="140" w:line="300"/>
        <w:jc w:val="left"/>
      </w:pPr>
      <w:r>
        <w:rPr>
          <w:rFonts w:ascii="Georgia" w:cs="Georgia" w:eastAsia="Georgia" w:hAnsi="Georgia"/>
          <w:b/>
          <w:bCs/>
          <w:i w:val="false"/>
          <w:iCs w:val="false"/>
          <w:sz w:val="22"/>
          <w:szCs w:val="22"/>
        </w:rPr>
        <w:t xml:space="preserve">The three reads.</w:t>
      </w:r>
      <w:r>
        <w:rPr>
          <w:rFonts w:ascii="Georgia" w:cs="Georgia" w:eastAsia="Georgia" w:hAnsi="Georgia"/>
          <w:b w:val="false"/>
          <w:bCs w:val="false"/>
          <w:i w:val="false"/>
          <w:iCs w:val="false"/>
          <w:sz w:val="22"/>
          <w:szCs w:val="22"/>
        </w:rPr>
        <w:t xml:space="preserve"> A reviewer assigns each record one of three determinations: Ready (a later reviewer could reconstruct the conclusion from the record alone), Needs work (partly reconstructable, some basis visible with gaps), or Gap (the basis for the conclusion is not visible in the record). A separate would-rely judgment (Yes or No) records whether the reviewer would rely on the record in a high-stakes, accountable decision.</w:t>
      </w:r>
    </w:p>
    <w:p>
      <w:pPr>
        <w:spacing w:after="140" w:line="300"/>
        <w:jc w:val="left"/>
      </w:pPr>
      <w:r>
        <w:rPr>
          <w:rFonts w:ascii="Georgia" w:cs="Georgia" w:eastAsia="Georgia" w:hAnsi="Georgia"/>
          <w:b/>
          <w:bCs/>
          <w:i w:val="false"/>
          <w:iCs w:val="false"/>
          <w:sz w:val="22"/>
          <w:szCs w:val="22"/>
        </w:rPr>
        <w:t xml:space="preserve">Author-blind by design.</w:t>
      </w:r>
      <w:r>
        <w:rPr>
          <w:rFonts w:ascii="Georgia" w:cs="Georgia" w:eastAsia="Georgia" w:hAnsi="Georgia"/>
          <w:b w:val="false"/>
          <w:bCs w:val="false"/>
          <w:i w:val="false"/>
          <w:iCs w:val="false"/>
          <w:sz w:val="22"/>
          <w:szCs w:val="22"/>
        </w:rPr>
        <w:t xml:space="preserve"> JRS does not ask, and does not try to detect, whether a record was written by a person or with AI assistance. That distinction is both technically unreliable and beside the point: a human-authored record can be conclusory and unanchored, and an AI-assisted record can be fully traceable. What the standard tests is whether the reasoning survives separation from whoever produced it. This is what keeps the criterion durable as drafting tools change, and it is why the method targets documentation risk rather than authorship.</w:t>
      </w:r>
    </w:p>
    <w:p>
      <w:pPr>
        <w:spacing w:after="140" w:line="300"/>
        <w:jc w:val="left"/>
      </w:pPr>
      <w:r>
        <w:rPr>
          <w:rFonts w:ascii="Georgia" w:cs="Georgia" w:eastAsia="Georgia" w:hAnsi="Georgia"/>
          <w:b/>
          <w:bCs/>
          <w:i w:val="false"/>
          <w:iCs w:val="false"/>
          <w:sz w:val="22"/>
          <w:szCs w:val="22"/>
        </w:rPr>
        <w:t xml:space="preserve">Proportionality.</w:t>
      </w:r>
      <w:r>
        <w:rPr>
          <w:rFonts w:ascii="Georgia" w:cs="Georgia" w:eastAsia="Georgia" w:hAnsi="Georgia"/>
          <w:b w:val="false"/>
          <w:bCs w:val="false"/>
          <w:i w:val="false"/>
          <w:iCs w:val="false"/>
          <w:sz w:val="22"/>
          <w:szCs w:val="22"/>
        </w:rPr>
        <w:t xml:space="preserve"> The documentation defensibility a record must carry scales with the stakes of the decision it supports: the tolerable level of Decision Reconstruction Risk falls as the consequence of the decision rises. A routine, low-stakes action may be adequately served by a brief summary, while a termination, a compliance escalation, or a benefits denial requires specific, identifiable evidence, or at least references to where that evidence resides. This principle, surfaced by pilot reviewer Saurabh Nanda, keeps the standard practical by concentrating review effort where exposure is greatest; the constructed corpus used here is deliberately weighted toward high-stakes contexts in which reconstructability matters most.</w:t>
      </w:r>
    </w:p>
    <w:p>
      <w:pPr>
        <w:spacing w:after="140" w:line="300"/>
        <w:jc w:val="left"/>
      </w:pPr>
      <w:r>
        <w:rPr>
          <w:rFonts w:ascii="Georgia" w:cs="Georgia" w:eastAsia="Georgia" w:hAnsi="Georgia"/>
          <w:b w:val="false"/>
          <w:bCs w:val="false"/>
          <w:i w:val="false"/>
          <w:iCs w:val="false"/>
          <w:sz w:val="22"/>
          <w:szCs w:val="22"/>
        </w:rPr>
        <w:t xml:space="preserve">JRS is deliberately independent of any vendor, model, or drafting workflow. It is a governance layer that sits above the technology stack and evaluates the output the stack produces.</w:t>
      </w:r>
    </w:p>
    <w:p>
      <w:pPr>
        <w:pStyle w:val="Heading1"/>
        <w:keepNext/>
        <w:spacing w:after="100" w:before="260"/>
      </w:pPr>
      <w:r>
        <w:rPr>
          <w:rFonts w:ascii="Georgia" w:cs="Georgia" w:eastAsia="Georgia" w:hAnsi="Georgia"/>
          <w:b/>
          <w:bCs/>
          <w:color w:val="1a1a1a"/>
          <w:sz w:val="26"/>
          <w:szCs w:val="26"/>
        </w:rPr>
        <w:t xml:space="preserve">4. Methods</w:t>
      </w:r>
    </w:p>
    <w:p>
      <w:pPr>
        <w:spacing w:after="140" w:line="300"/>
        <w:jc w:val="left"/>
      </w:pPr>
      <w:r>
        <w:rPr>
          <w:rFonts w:ascii="Georgia" w:cs="Georgia" w:eastAsia="Georgia" w:hAnsi="Georgia"/>
          <w:b w:val="false"/>
          <w:bCs w:val="false"/>
          <w:i w:val="false"/>
          <w:iCs w:val="false"/>
          <w:sz w:val="22"/>
          <w:szCs w:val="22"/>
        </w:rPr>
        <w:t xml:space="preserve">The validation program is organized as an evidence ladder. This paper reports the reproducibility and reliability rungs as complete supporting evidence and centers on the detection rung (does JRS detect DRR) and the randomized comparison (does JRS add value). Two further lines of the program are pursued in companion work and are not part of this paper: criterion validity, which tests whether JRS reads predict how real records hold up when they are later challenged, appealed, or litigated, drawn from real-case pilots in public records and employment; and a governance and legal analysis of the documentation-accountability problem. Construct validity of the five conditions is a separate analysis, deferred until the record set can support it. Keeping these as distinct works lets each paper stay focused and lets each claim be earned on its own evidence rather than asserted alongside stronger ones.</w:t>
      </w:r>
    </w:p>
    <w:p>
      <w:pPr>
        <w:spacing w:after="140" w:line="300"/>
        <w:jc w:val="left"/>
      </w:pPr>
      <w:r>
        <w:rPr>
          <w:rFonts w:ascii="Georgia" w:cs="Georgia" w:eastAsia="Georgia" w:hAnsi="Georgia"/>
          <w:b w:val="false"/>
          <w:bCs w:val="false"/>
          <w:i w:val="false"/>
          <w:iCs w:val="false"/>
          <w:sz w:val="22"/>
          <w:szCs w:val="22"/>
        </w:rPr>
        <w:t xml:space="preserve">### 4.1 Design overview</w:t>
      </w:r>
    </w:p>
    <w:p>
      <w:pPr>
        <w:spacing w:after="140" w:line="300"/>
        <w:jc w:val="left"/>
      </w:pPr>
      <w:r>
        <w:rPr>
          <w:rFonts w:ascii="Georgia" w:cs="Georgia" w:eastAsia="Georgia" w:hAnsi="Georgia"/>
          <w:b w:val="false"/>
          <w:bCs w:val="false"/>
          <w:i w:val="false"/>
          <w:iCs w:val="false"/>
          <w:sz w:val="22"/>
          <w:szCs w:val="22"/>
        </w:rPr>
        <w:t xml:space="preserve">- Reproducibility (supporting): three independent AI systems apply the JRS reads to the same records, to test whether the standard is applied consistently at machine level.</w:t>
      </w:r>
    </w:p>
    <w:p>
      <w:pPr>
        <w:spacing w:after="140" w:line="300"/>
        <w:jc w:val="left"/>
      </w:pPr>
      <w:r>
        <w:rPr>
          <w:rFonts w:ascii="Georgia" w:cs="Georgia" w:eastAsia="Georgia" w:hAnsi="Georgia"/>
          <w:b w:val="false"/>
          <w:bCs w:val="false"/>
          <w:i w:val="false"/>
          <w:iCs w:val="false"/>
          <w:sz w:val="22"/>
          <w:szCs w:val="22"/>
        </w:rPr>
        <w:t xml:space="preserve">- Reliability (supporting): independent human reviewers apply the reads to a shared record set, to test inter-rater agreement.</w:t>
      </w:r>
    </w:p>
    <w:p>
      <w:pPr>
        <w:spacing w:after="140" w:line="300"/>
        <w:jc w:val="left"/>
      </w:pPr>
      <w:r>
        <w:rPr>
          <w:rFonts w:ascii="Georgia" w:cs="Georgia" w:eastAsia="Georgia" w:hAnsi="Georgia"/>
          <w:b w:val="false"/>
          <w:bCs w:val="false"/>
          <w:i w:val="false"/>
          <w:iCs w:val="false"/>
          <w:sz w:val="22"/>
          <w:szCs w:val="22"/>
        </w:rPr>
        <w:t xml:space="preserve">- Detection accuracy (primary): reviewers judge a balanced, constructed corpus against a verified answer key.</w:t>
      </w:r>
    </w:p>
    <w:p>
      <w:pPr>
        <w:spacing w:after="140" w:line="300"/>
        <w:jc w:val="left"/>
      </w:pPr>
      <w:r>
        <w:rPr>
          <w:rFonts w:ascii="Georgia" w:cs="Georgia" w:eastAsia="Georgia" w:hAnsi="Georgia"/>
          <w:b w:val="false"/>
          <w:bCs w:val="false"/>
          <w:i w:val="false"/>
          <w:iCs w:val="false"/>
          <w:sz w:val="22"/>
          <w:szCs w:val="22"/>
        </w:rPr>
        <w:t xml:space="preserve">- Randomized comparison, Arm B (primary): fresh, JRS-naive participants are randomly assigned to judge the same records with JRS or without it, isolating the contribution of the standard.</w:t>
      </w:r>
    </w:p>
    <w:p>
      <w:pPr>
        <w:spacing w:after="140" w:line="300"/>
        <w:jc w:val="left"/>
      </w:pPr>
      <w:r>
        <w:rPr>
          <w:rFonts w:ascii="Georgia" w:cs="Georgia" w:eastAsia="Georgia" w:hAnsi="Georgia"/>
          <w:b w:val="false"/>
          <w:bCs w:val="false"/>
          <w:i w:val="false"/>
          <w:iCs w:val="false"/>
          <w:sz w:val="22"/>
          <w:szCs w:val="22"/>
        </w:rPr>
        <w:t xml:space="preserve">### 4.2 Materials: the constructed corpus and the verified key</w:t>
      </w:r>
    </w:p>
    <w:p>
      <w:pPr>
        <w:spacing w:after="140" w:line="300"/>
        <w:jc w:val="left"/>
      </w:pPr>
      <w:r>
        <w:rPr>
          <w:rFonts w:ascii="Georgia" w:cs="Georgia" w:eastAsia="Georgia" w:hAnsi="Georgia"/>
          <w:b w:val="false"/>
          <w:bCs w:val="false"/>
          <w:i w:val="false"/>
          <w:iCs w:val="false"/>
          <w:sz w:val="22"/>
          <w:szCs w:val="22"/>
        </w:rPr>
        <w:t xml:space="preserve">The corpus is 24 constructed, de-identified, AI-generated records drawn from high-stakes documentation contexts (for example, HR and employment, investigations, compliance and audit, public records, and AI-assisted summaries). The set is balanced: 12 records are grounded (their conclusions are supported by content present in the record) and 12 are unsupported (their conclusions read as complete but lack a reconstructable basis). Records are presented unlabeled and in randomized order.</w:t>
      </w:r>
    </w:p>
    <w:p>
      <w:pPr>
        <w:spacing w:after="140" w:line="300"/>
        <w:jc w:val="left"/>
      </w:pPr>
      <w:r>
        <w:rPr>
          <w:rFonts w:ascii="Georgia" w:cs="Georgia" w:eastAsia="Georgia" w:hAnsi="Georgia"/>
          <w:b w:val="false"/>
          <w:bCs w:val="false"/>
          <w:i w:val="false"/>
          <w:iCs w:val="false"/>
          <w:sz w:val="22"/>
          <w:szCs w:val="22"/>
        </w:rPr>
        <w:t xml:space="preserve">The answer key was fixed in advance. The author-side intended classification of each record was documented before verification, and the key was then independently reproduced by blind raters who did not see the study's hypotheses. This procedure is designed to remove the circularity objection that the key was fit to the standard. The key and its verification packet are retained and are available to reviewers under the study's data-availability terms; the key itself is kept off the public site to protect the blind study.</w:t>
      </w:r>
    </w:p>
    <w:p>
      <w:pPr>
        <w:spacing w:after="140" w:line="300"/>
        <w:jc w:val="left"/>
      </w:pPr>
      <w:r>
        <w:rPr>
          <w:rFonts w:ascii="Georgia" w:cs="Georgia" w:eastAsia="Georgia" w:hAnsi="Georgia"/>
          <w:b w:val="false"/>
          <w:bCs w:val="false"/>
          <w:i w:val="false"/>
          <w:iCs w:val="false"/>
          <w:sz w:val="22"/>
          <w:szCs w:val="22"/>
        </w:rPr>
        <w:t xml:space="preserve">### 4.3 Participants</w:t>
      </w:r>
    </w:p>
    <w:p>
      <w:pPr>
        <w:spacing w:after="140" w:line="300"/>
        <w:jc w:val="left"/>
      </w:pPr>
      <w:r>
        <w:rPr>
          <w:rFonts w:ascii="Georgia" w:cs="Georgia" w:eastAsia="Georgia" w:hAnsi="Georgia"/>
          <w:b w:val="false"/>
          <w:bCs w:val="false"/>
          <w:i w:val="false"/>
          <w:iCs w:val="false"/>
          <w:sz w:val="22"/>
          <w:szCs w:val="22"/>
        </w:rPr>
        <w:t xml:space="preserve">The detection panel is an international group of experienced professionals in relevant domains (AI governance, compliance, audit, human resources, investigations, data privacy, records, and law). As of 1 August 2026, more than 25 reviewers are registered and 14 have completed the full 24-record set, with one more at 22 of 24; the completed reviewers alone span 10 countries on 5 continents and multiple professional domains and first languages. Reviewers participate in a personal capacity, without compensation, and are recognized as named contributors with their consent. Participation is voluntary and may be withdrawn before publication.</w:t>
      </w:r>
    </w:p>
    <w:p>
      <w:pPr>
        <w:spacing w:after="140" w:line="300"/>
        <w:jc w:val="left"/>
      </w:pPr>
      <w:r>
        <w:rPr>
          <w:rFonts w:ascii="Georgia" w:cs="Georgia" w:eastAsia="Georgia" w:hAnsi="Georgia"/>
          <w:b w:val="false"/>
          <w:bCs w:val="false"/>
          <w:i w:val="false"/>
          <w:iCs w:val="false"/>
          <w:sz w:val="22"/>
          <w:szCs w:val="22"/>
        </w:rPr>
        <w:t xml:space="preserve">The randomized comparison (Arm B) recruits a separate batch of JRS-naive participants, that is, professionals who have not been exposed to the JRS method or its materials, so that the no-standard condition reflects genuinely unaided judgment.</w:t>
      </w:r>
    </w:p>
    <w:p>
      <w:pPr>
        <w:spacing w:after="140" w:line="300"/>
        <w:jc w:val="left"/>
      </w:pPr>
      <w:r>
        <w:rPr>
          <w:rFonts w:ascii="Georgia" w:cs="Georgia" w:eastAsia="Georgia" w:hAnsi="Georgia"/>
          <w:b w:val="false"/>
          <w:bCs w:val="false"/>
          <w:i w:val="false"/>
          <w:iCs w:val="false"/>
          <w:sz w:val="22"/>
          <w:szCs w:val="22"/>
        </w:rPr>
        <w:t xml:space="preserve">### 4.4 The randomized comparison (Arm B)</w:t>
      </w:r>
    </w:p>
    <w:p>
      <w:pPr>
        <w:spacing w:after="140" w:line="300"/>
        <w:jc w:val="left"/>
      </w:pPr>
      <w:r>
        <w:rPr>
          <w:rFonts w:ascii="Georgia" w:cs="Georgia" w:eastAsia="Georgia" w:hAnsi="Georgia"/>
          <w:b w:val="false"/>
          <w:bCs w:val="false"/>
          <w:i w:val="false"/>
          <w:iCs w:val="false"/>
          <w:sz w:val="22"/>
          <w:szCs w:val="22"/>
        </w:rPr>
        <w:t xml:space="preserve">Arm B isolates the value of the standard. Fresh participants are randomly assigned, before they judge any record, to one of two conditions, with the assignment fixed for that participant and recorded with a timestamp:</w:t>
      </w:r>
    </w:p>
    <w:p>
      <w:pPr>
        <w:spacing w:after="140" w:line="300"/>
        <w:jc w:val="left"/>
      </w:pPr>
      <w:r>
        <w:rPr>
          <w:rFonts w:ascii="Georgia" w:cs="Georgia" w:eastAsia="Georgia" w:hAnsi="Georgia"/>
          <w:b w:val="false"/>
          <w:bCs w:val="false"/>
          <w:i w:val="false"/>
          <w:iCs w:val="false"/>
          <w:sz w:val="22"/>
          <w:szCs w:val="22"/>
        </w:rPr>
        <w:t xml:space="preserve">- B1 (JRS condition): for each record the participant gives a JRS read (Ready, Needs work, or Gap) after being shown the five conditions, plus a would-rely judgment.</w:t>
      </w:r>
    </w:p>
    <w:p>
      <w:pPr>
        <w:spacing w:after="140" w:line="300"/>
        <w:jc w:val="left"/>
      </w:pPr>
      <w:r>
        <w:rPr>
          <w:rFonts w:ascii="Georgia" w:cs="Georgia" w:eastAsia="Georgia" w:hAnsi="Georgia"/>
          <w:b w:val="false"/>
          <w:bCs w:val="false"/>
          <w:i w:val="false"/>
          <w:iCs w:val="false"/>
          <w:sz w:val="22"/>
          <w:szCs w:val="22"/>
        </w:rPr>
        <w:t xml:space="preserve">- B2 (baseline condition): for each record the participant answers a single general question, whether the record is adequately supported to rely on in a high-stakes, accountable decision (Yes or No), with no exposure to the JRS conditions.</w:t>
      </w:r>
    </w:p>
    <w:p>
      <w:pPr>
        <w:spacing w:after="140" w:line="300"/>
        <w:jc w:val="left"/>
      </w:pPr>
      <w:r>
        <w:rPr>
          <w:rFonts w:ascii="Georgia" w:cs="Georgia" w:eastAsia="Georgia" w:hAnsi="Georgia"/>
          <w:b w:val="false"/>
          <w:bCs w:val="false"/>
          <w:i w:val="false"/>
          <w:iCs w:val="false"/>
          <w:sz w:val="22"/>
          <w:szCs w:val="22"/>
        </w:rPr>
        <w:t xml:space="preserve">Both conditions judge identical records. Because assignment is random and the two conditions differ only in whether the JRS method is provided, a difference in detection accuracy between B1 and B2 is attributable to the standard rather than to reviewer expertise. Assignment is implemented by a deterministic, auditable function of the participant code, and codes are issued in sequence so that participants are not steered into conditions.</w:t>
      </w:r>
    </w:p>
    <w:p>
      <w:pPr>
        <w:spacing w:after="140" w:line="300"/>
        <w:jc w:val="left"/>
      </w:pPr>
      <w:r>
        <w:rPr>
          <w:rFonts w:ascii="Georgia" w:cs="Georgia" w:eastAsia="Georgia" w:hAnsi="Georgia"/>
          <w:b w:val="false"/>
          <w:bCs w:val="false"/>
          <w:i w:val="false"/>
          <w:iCs w:val="false"/>
          <w:sz w:val="22"/>
          <w:szCs w:val="22"/>
        </w:rPr>
        <w:t xml:space="preserve">### 4.5 Pre-registered analysis plan</w:t>
      </w:r>
    </w:p>
    <w:p>
      <w:pPr>
        <w:spacing w:after="140" w:line="300"/>
        <w:jc w:val="left"/>
      </w:pPr>
      <w:r>
        <w:rPr>
          <w:rFonts w:ascii="Georgia" w:cs="Georgia" w:eastAsia="Georgia" w:hAnsi="Georgia"/>
          <w:b w:val="false"/>
          <w:bCs w:val="false"/>
          <w:i w:val="false"/>
          <w:iCs w:val="false"/>
          <w:sz w:val="22"/>
          <w:szCs w:val="22"/>
        </w:rPr>
        <w:t xml:space="preserve">Analysis follows a plan registered before results are examined. In summary: reliability is qualified by a pre-set chance-corrected agreement floor; detection accuracy is evaluated against chance and a pre-set accuracy floor, reported with sensitivity (detection of unsupported records) and specificity (correct pass of grounded records); and the Arm B comparison is evaluated against a pre-set superiority threshold for the JRS condition over the baseline. Agreement is reported with chance-corrected statistics (Gwet's AC1 as primary, with companion coefficients) to handle high-agreement paradoxes. Failing a floor is reported as a null result, not omitted. The full plan, including exact thresholds, is held in the study's pre-registration.</w:t>
      </w:r>
    </w:p>
    <w:p>
      <w:pPr>
        <w:spacing w:after="140" w:line="300"/>
        <w:jc w:val="left"/>
      </w:pPr>
      <w:r>
        <w:rPr>
          <w:rFonts w:ascii="Georgia" w:cs="Georgia" w:eastAsia="Georgia" w:hAnsi="Georgia"/>
          <w:b w:val="false"/>
          <w:bCs w:val="false"/>
          <w:i w:val="false"/>
          <w:iCs w:val="false"/>
          <w:sz w:val="22"/>
          <w:szCs w:val="22"/>
        </w:rPr>
        <w:t xml:space="preserve">### 4.6 Ethics, consent, and confidentiality</w:t>
      </w:r>
    </w:p>
    <w:p>
      <w:pPr>
        <w:spacing w:after="140" w:line="300"/>
        <w:jc w:val="left"/>
      </w:pPr>
      <w:r>
        <w:rPr>
          <w:rFonts w:ascii="Georgia" w:cs="Georgia" w:eastAsia="Georgia" w:hAnsi="Georgia"/>
          <w:b w:val="false"/>
          <w:bCs w:val="false"/>
          <w:i w:val="false"/>
          <w:iCs w:val="false"/>
          <w:sz w:val="22"/>
          <w:szCs w:val="22"/>
        </w:rPr>
        <w:t xml:space="preserve">All records are constructed and de-identified; none is internal, confidential, or tied to a real individual or organization. Participation is voluntary, uncompensated, and in a personal capacity. Reviewer responses are stored on an append-only basis and used only in aggregate. Attribution is opt-in: contributors are named only with consent, may participate anonymously, and may withdraw their name or contribution before any publication. The study makes no proven-effectiveness claim and is labeled as a validation-phase study throughout.</w:t>
      </w:r>
    </w:p>
    <w:p>
      <w:pPr>
        <w:spacing w:after="140" w:line="300"/>
        <w:jc w:val="left"/>
      </w:pPr>
      <w:r>
        <w:rPr>
          <w:rFonts w:ascii="Georgia" w:cs="Georgia" w:eastAsia="Georgia" w:hAnsi="Georgia"/>
          <w:b w:val="false"/>
          <w:bCs w:val="false"/>
          <w:i w:val="false"/>
          <w:iCs w:val="false"/>
          <w:sz w:val="22"/>
          <w:szCs w:val="22"/>
        </w:rPr>
        <w:t xml:space="preserve">### 4.7 Supporting analyses: reproducibility and reliability</w:t>
      </w:r>
    </w:p>
    <w:p>
      <w:pPr>
        <w:spacing w:after="140" w:line="300"/>
        <w:jc w:val="left"/>
      </w:pPr>
      <w:r>
        <w:rPr>
          <w:rFonts w:ascii="Georgia" w:cs="Georgia" w:eastAsia="Georgia" w:hAnsi="Georgia"/>
          <w:b w:val="false"/>
          <w:bCs w:val="false"/>
          <w:i w:val="false"/>
          <w:iCs w:val="false"/>
          <w:sz w:val="22"/>
          <w:szCs w:val="22"/>
        </w:rPr>
        <w:t xml:space="preserve">Two supporting analyses test whether the JRS read is applied consistently, a precondition for the detection question. In the reproducibility analysis (machine level), each constructed record is judged by three large language models, one from each of three independent vendors: Anthropic claude-opus-4-8, OpenAI gpt-5, and Google Gemini. Cross-vendor models are used, rather than three instances of one provider, so that agreement reflects the method rather than a single model lineage; the measure is mean pairwise agreement on the JRS determination, run as an automated nightly process. In the reliability analysis (human level), independent raters apply the five conditions to a shared record set and record a determination. Raters whose codes begin with E are experts; the remainder are trained reviewers. Agreement is assessed with Gwet's AC1 (Gwet, 2008) as the primary chance-corrected coefficient, chosen for robustness to the kappa paradox under skewed marginals (Feinstein and Cicchetti, 1990; Byrt et al., 1993), with Krippendorff's alpha (Krippendorff, 2004), Fleiss' kappa (Fleiss, 1971), and per-condition AC1 reported alongside; 95 percent confidence intervals are computed from Gwet's linearization variance and corroborated by a subject-level bootstrap. Both analyses follow the same pre-registered analysis plan, dated 6 July 2026, as the detection rung.</w:t>
      </w:r>
    </w:p>
    <w:p>
      <w:pPr>
        <w:pStyle w:val="Heading1"/>
        <w:keepNext/>
        <w:spacing w:after="100" w:before="260"/>
      </w:pPr>
      <w:r>
        <w:rPr>
          <w:rFonts w:ascii="Georgia" w:cs="Georgia" w:eastAsia="Georgia" w:hAnsi="Georgia"/>
          <w:b/>
          <w:bCs/>
          <w:color w:val="1a1a1a"/>
          <w:sz w:val="26"/>
          <w:szCs w:val="26"/>
        </w:rPr>
        <w:t xml:space="preserve">5. Results</w:t>
      </w:r>
    </w:p>
    <w:p>
      <w:pPr>
        <w:spacing w:after="140" w:line="300"/>
        <w:jc w:val="left"/>
      </w:pPr>
      <w:r>
        <w:rPr>
          <w:rFonts w:ascii="Georgia" w:cs="Georgia" w:eastAsia="Georgia" w:hAnsi="Georgia"/>
          <w:b w:val="false"/>
          <w:bCs w:val="false"/>
          <w:i w:val="false"/>
          <w:iCs w:val="false"/>
          <w:sz w:val="22"/>
          <w:szCs w:val="22"/>
        </w:rPr>
        <w:t xml:space="preserve">### 5.1 Supporting results: reproducibility and reliability (complete)</w:t>
      </w:r>
    </w:p>
    <w:p>
      <w:pPr>
        <w:spacing w:after="140" w:line="300"/>
        <w:jc w:val="left"/>
      </w:pPr>
      <w:r>
        <w:rPr>
          <w:rFonts w:ascii="Georgia" w:cs="Georgia" w:eastAsia="Georgia" w:hAnsi="Georgia"/>
          <w:b/>
          <w:bCs/>
          <w:i w:val="false"/>
          <w:iCs w:val="false"/>
          <w:sz w:val="22"/>
          <w:szCs w:val="22"/>
        </w:rPr>
        <w:t xml:space="preserve">Reproducibility.</w:t>
      </w:r>
      <w:r>
        <w:rPr>
          <w:rFonts w:ascii="Georgia" w:cs="Georgia" w:eastAsia="Georgia" w:hAnsi="Georgia"/>
          <w:b w:val="false"/>
          <w:bCs w:val="false"/>
          <w:i w:val="false"/>
          <w:iCs w:val="false"/>
          <w:sz w:val="22"/>
          <w:szCs w:val="22"/>
        </w:rPr>
        <w:t xml:space="preserve"> Across 15 constructed records, the three cross-vendor models (Anthropic claude-opus-4-8, OpenAI gpt-5, and Google Gemini) reached a mean pairwise agreement of 84 percent on the JRS determination (latest automated run 2026-07-06; the figure moved within a band of 78 to 87 percent as the set grew from 3 to 15 records). This indicates consistent application at machine level and is not a measure of correctness.</w:t>
      </w:r>
    </w:p>
    <w:p>
      <w:pPr>
        <w:spacing w:after="140" w:line="300"/>
        <w:jc w:val="left"/>
      </w:pPr>
      <w:r>
        <w:rPr>
          <w:rFonts w:ascii="Georgia" w:cs="Georgia" w:eastAsia="Georgia" w:hAnsi="Georgia"/>
          <w:b/>
          <w:bCs/>
          <w:i w:val="false"/>
          <w:iCs w:val="false"/>
          <w:sz w:val="22"/>
          <w:szCs w:val="22"/>
        </w:rPr>
        <w:t xml:space="preserve">Reliability.</w:t>
      </w:r>
      <w:r>
        <w:rPr>
          <w:rFonts w:ascii="Georgia" w:cs="Georgia" w:eastAsia="Georgia" w:hAnsi="Georgia"/>
          <w:b w:val="false"/>
          <w:bCs w:val="false"/>
          <w:i w:val="false"/>
          <w:iCs w:val="false"/>
          <w:sz w:val="22"/>
          <w:szCs w:val="22"/>
        </w:rPr>
        <w:t xml:space="preserve"> On a shared set of 10 records (108 determinations, 36 from experts and 72 from trained reviewers), expert reviewers reached Gwet's AC1 of 0.74 (95 percent CI 0.40 to 1.00; raw agreement 88 percent), in the substantial range and above the pre-registered point threshold of 0.61; trained reviewers reached 0.63 (95 percent CI 0.26 to 1.00; raw agreement 83 percent). The determination distribution was skewed, at 69 percent Gap, 18 percent Needs work, and 13 percent Ready. Under that skew the marginal-sensitive coefficients diverge from AC1 as the analysis plan anticipated: for experts Krippendorff's alpha is 0.62 and Fleiss' kappa 0.65, tracking AC1; for trained reviewers they fall to 0.30 and 0.28, the signature of the kappa paradox, which is the documented reason AC1 was pre-registered as the primary coefficient. Per-condition AC1, a secondary and exploratory analysis, ranged from 0.25 to 0.55 for experts and 0.19 to 0.51 for trained reviewers, all below the determination-level values, as expected when raters reach the same determination through different combinations of conditions. These reliability figures are interim: they rest on 10 records against a pre-registered pooled target of approximately 26, so the confidence intervals are wide and the plan's lower-bound criterion (95 percent CI lower bound at least 0.41) sits on the boundary, at 0.40 by the linearization variance and 0.43 by the bootstrap, and is settled by completing the pooled set. Taken together, the supporting analyses indicate that the JRS read is applied consistently by independent AI systems and by independent human experts; they do not by themselves establish that the read is accurate, which is the detection question addressed next.</w:t>
      </w:r>
    </w:p>
    <w:p>
      <w:pPr>
        <w:spacing w:after="140" w:line="300"/>
        <w:jc w:val="left"/>
      </w:pPr>
      <w:r>
        <w:rPr>
          <w:rFonts w:ascii="Georgia" w:cs="Georgia" w:eastAsia="Georgia" w:hAnsi="Georgia"/>
          <w:b w:val="false"/>
          <w:bCs w:val="false"/>
          <w:i w:val="false"/>
          <w:iCs w:val="false"/>
          <w:sz w:val="22"/>
          <w:szCs w:val="22"/>
        </w:rPr>
        <w:t xml:space="preserve">### 5.2 Primary results: detection and randomized comparison (gated; to be completed)</w:t>
      </w:r>
    </w:p>
    <w:p>
      <w:pPr>
        <w:spacing w:after="140" w:line="300"/>
        <w:jc w:val="left"/>
      </w:pPr>
      <w:r>
        <w:rPr>
          <w:rFonts w:ascii="Georgia" w:cs="Georgia" w:eastAsia="Georgia" w:hAnsi="Georgia"/>
          <w:b w:val="false"/>
          <w:bCs w:val="false"/>
          <w:i w:val="false"/>
          <w:iCs w:val="false"/>
          <w:sz w:val="22"/>
          <w:szCs w:val="22"/>
        </w:rPr>
        <w:t xml:space="preserve">Results for the two primary analyses are not reported in this draft. Reporting is conditional on reaching the pre-registered sample with the required spread and on the pre-registered thresholds. The current state is descriptive and directional only: as of 1 August 2026 the detection panel is partially collected (14 registered reviewers have completed the full set, one more at 22 of 24), and the randomized comparison has enrolled participants, of whom 11 have completed the set (4 in the JRS condition and 7 in the baseline), the JRS arm still short of the pre-registered per-arm target and not yet run to analysis. No sensitivity, specificity, agreement, or between-condition figure is stated here, because stating one before the pre-registered conditions are met would violate the study's own analysis plan. When complete, this section will report: the cross-tabulation of JRS read against the verified key; sensitivity and specificity with intervals; inter-rater agreement on the detection set; and the B1-versus-B2 comparison against the pre-registered superiority threshold.</w:t>
      </w:r>
    </w:p>
    <w:p>
      <w:pPr>
        <w:pStyle w:val="Heading1"/>
        <w:keepNext/>
        <w:spacing w:after="100" w:before="260"/>
      </w:pPr>
      <w:r>
        <w:rPr>
          <w:rFonts w:ascii="Georgia" w:cs="Georgia" w:eastAsia="Georgia" w:hAnsi="Georgia"/>
          <w:b/>
          <w:bCs/>
          <w:color w:val="1a1a1a"/>
          <w:sz w:val="26"/>
          <w:szCs w:val="26"/>
        </w:rPr>
        <w:t xml:space="preserve">6. Discussion (conditional)</w:t>
      </w:r>
    </w:p>
    <w:p>
      <w:pPr>
        <w:spacing w:after="140" w:line="300"/>
        <w:jc w:val="left"/>
      </w:pPr>
      <w:r>
        <w:rPr>
          <w:rFonts w:ascii="Georgia" w:cs="Georgia" w:eastAsia="Georgia" w:hAnsi="Georgia"/>
          <w:b w:val="false"/>
          <w:bCs w:val="false"/>
          <w:i w:val="false"/>
          <w:iCs w:val="false"/>
          <w:sz w:val="22"/>
          <w:szCs w:val="22"/>
        </w:rPr>
        <w:t xml:space="preserve">The discussion is framed conditionally, pending results. If DRR proves detectable and JRS improves detection over unaided judgment, the governance implication is concrete: documentation quality becomes a measurable, workflow-independent control that organizations can apply before a record is finalized, complementary to model-centric AI governance. If JRS does not improve detection, that too is an informative result, because it would indicate that experienced reviewers already detect DRR without the method, and it would redirect effort toward training or tooling rather than a review standard. Either outcome advances the underlying goal, which is to make AI-assisted records that can be independently reconstructed and defended: records a later, independent reviewer can examine on their own terms. The implication runs in two directions at once. For organizations, a validated control offers a way to test and strengthen a record before it is finalized, so that consequential decisions remain defensible under audit, regulatory review, and litigation. For the people those records describe, the same control supports a more basic interest: a record that can explain why a decision was made, and therefore a fairer opportunity to understand and question it. A documentation control that advances both accountability to affected persons and defensibility for institutions is not a trade-off between the two; it is the same property viewed from either side.</w:t>
      </w:r>
    </w:p>
    <w:p>
      <w:pPr>
        <w:pStyle w:val="Heading1"/>
        <w:keepNext/>
        <w:spacing w:after="100" w:before="260"/>
      </w:pPr>
      <w:r>
        <w:rPr>
          <w:rFonts w:ascii="Georgia" w:cs="Georgia" w:eastAsia="Georgia" w:hAnsi="Georgia"/>
          <w:b/>
          <w:bCs/>
          <w:color w:val="1a1a1a"/>
          <w:sz w:val="26"/>
          <w:szCs w:val="26"/>
        </w:rPr>
        <w:t xml:space="preserve">7. Limitations</w:t>
      </w:r>
    </w:p>
    <w:p>
      <w:pPr>
        <w:spacing w:after="140" w:line="300"/>
        <w:jc w:val="left"/>
      </w:pPr>
      <w:r>
        <w:rPr>
          <w:rFonts w:ascii="Georgia" w:cs="Georgia" w:eastAsia="Georgia" w:hAnsi="Georgia"/>
          <w:b w:val="false"/>
          <w:bCs w:val="false"/>
          <w:i w:val="false"/>
          <w:iCs w:val="false"/>
          <w:sz w:val="22"/>
          <w:szCs w:val="22"/>
        </w:rPr>
        <w:t xml:space="preserve">The corpus is constructed rather than drawn from live records, which supports a clean detection test but does not establish real-world effectiveness; criterion validity against documented real-case outcomes is a separate line of work. The panel is recruited, not sampled, and self-selects for interest in the topic. Generalization beyond the sampled domains and jurisdictions is not claimed. JRS remains in a validation phase and makes no proven-effectiveness claim.</w:t>
      </w:r>
    </w:p>
    <w:p>
      <w:pPr>
        <w:pStyle w:val="Heading1"/>
        <w:keepNext/>
        <w:spacing w:after="100" w:before="260"/>
      </w:pPr>
      <w:r>
        <w:rPr>
          <w:rFonts w:ascii="Georgia" w:cs="Georgia" w:eastAsia="Georgia" w:hAnsi="Georgia"/>
          <w:b/>
          <w:bCs/>
          <w:color w:val="1a1a1a"/>
          <w:sz w:val="26"/>
          <w:szCs w:val="26"/>
        </w:rPr>
        <w:t xml:space="preserve">8. Conclusion</w:t>
      </w:r>
    </w:p>
    <w:p>
      <w:pPr>
        <w:spacing w:after="140" w:line="300"/>
        <w:jc w:val="left"/>
      </w:pPr>
      <w:r>
        <w:rPr>
          <w:rFonts w:ascii="Georgia" w:cs="Georgia" w:eastAsia="Georgia" w:hAnsi="Georgia"/>
          <w:b w:val="false"/>
          <w:bCs w:val="false"/>
          <w:i w:val="false"/>
          <w:iCs w:val="false"/>
          <w:sz w:val="22"/>
          <w:szCs w:val="22"/>
        </w:rPr>
        <w:t xml:space="preserve">The drafting tool and the technology stack will keep changing. The evidentiary test does not. A record that cannot be reconstructed from its own contents cannot be independently defended, whoever or whatever produced it. Decision Reconstruction Risk names that gap, and the Justification Review Standard offers a measurable way to detect it before a record is finalized. This paper sets out the construct, the method, and a pre-registered design to test both detectability and the added value of the standard, so that the resulting claims, when made, are earned rather than asserted.</w:t>
      </w:r>
    </w:p>
    <w:p>
      <w:pPr>
        <w:pStyle w:val="Heading1"/>
        <w:keepNext/>
        <w:spacing w:after="100" w:before="260"/>
      </w:pPr>
      <w:r>
        <w:rPr>
          <w:rFonts w:ascii="Georgia" w:cs="Georgia" w:eastAsia="Georgia" w:hAnsi="Georgia"/>
          <w:b/>
          <w:bCs/>
          <w:color w:val="1a1a1a"/>
          <w:sz w:val="26"/>
          <w:szCs w:val="26"/>
        </w:rPr>
        <w:t xml:space="preserve">References</w:t>
      </w:r>
    </w:p>
    <w:p>
      <w:pPr>
        <w:spacing w:after="140" w:line="300"/>
        <w:jc w:val="left"/>
      </w:pPr>
      <w:r>
        <w:rPr>
          <w:rFonts w:ascii="Georgia" w:cs="Georgia" w:eastAsia="Georgia" w:hAnsi="Georgia"/>
          <w:b w:val="false"/>
          <w:bCs w:val="false"/>
          <w:i w:val="false"/>
          <w:iCs w:val="false"/>
          <w:sz w:val="22"/>
          <w:szCs w:val="22"/>
        </w:rPr>
        <w:t xml:space="preserve">Byrt, T., Bishop, J., Carlin, J.B., 1993. Bias, prevalence and kappa. Journal of Clinical Epidemiology 46 (5), 423-429.</w:t>
      </w:r>
    </w:p>
    <w:p>
      <w:pPr>
        <w:spacing w:after="140" w:line="300"/>
        <w:jc w:val="left"/>
      </w:pPr>
      <w:r>
        <w:rPr>
          <w:rFonts w:ascii="Georgia" w:cs="Georgia" w:eastAsia="Georgia" w:hAnsi="Georgia"/>
          <w:b w:val="false"/>
          <w:bCs w:val="false"/>
          <w:i w:val="false"/>
          <w:iCs w:val="false"/>
          <w:sz w:val="22"/>
          <w:szCs w:val="22"/>
        </w:rPr>
        <w:t xml:space="preserve">Cohen, J., 1960. A coefficient of agreement for nominal scales. Educational and Psychological Measurement 20 (1), 37-46.</w:t>
      </w:r>
    </w:p>
    <w:p>
      <w:pPr>
        <w:spacing w:after="140" w:line="300"/>
        <w:jc w:val="left"/>
      </w:pPr>
      <w:r>
        <w:rPr>
          <w:rFonts w:ascii="Georgia" w:cs="Georgia" w:eastAsia="Georgia" w:hAnsi="Georgia"/>
          <w:b w:val="false"/>
          <w:bCs w:val="false"/>
          <w:i w:val="false"/>
          <w:iCs w:val="false"/>
          <w:sz w:val="22"/>
          <w:szCs w:val="22"/>
        </w:rPr>
        <w:t xml:space="preserve">Feinstein, A.R., Cicchetti, D.V., 1990. High agreement but low kappa: I. The problems of two paradoxes. Journal of Clinical Epidemiology 43 (6), 543-549.</w:t>
      </w:r>
    </w:p>
    <w:p>
      <w:pPr>
        <w:spacing w:after="140" w:line="300"/>
        <w:jc w:val="left"/>
      </w:pPr>
      <w:r>
        <w:rPr>
          <w:rFonts w:ascii="Georgia" w:cs="Georgia" w:eastAsia="Georgia" w:hAnsi="Georgia"/>
          <w:b w:val="false"/>
          <w:bCs w:val="false"/>
          <w:i w:val="false"/>
          <w:iCs w:val="false"/>
          <w:sz w:val="22"/>
          <w:szCs w:val="22"/>
        </w:rPr>
        <w:t xml:space="preserve">Fleiss, J.L., 1971. Measuring nominal scale agreement among many raters. Psychological Bulletin 76 (5), 378-382.</w:t>
      </w:r>
    </w:p>
    <w:p>
      <w:pPr>
        <w:spacing w:after="140" w:line="300"/>
        <w:jc w:val="left"/>
      </w:pPr>
      <w:r>
        <w:rPr>
          <w:rFonts w:ascii="Georgia" w:cs="Georgia" w:eastAsia="Georgia" w:hAnsi="Georgia"/>
          <w:b w:val="false"/>
          <w:bCs w:val="false"/>
          <w:i w:val="false"/>
          <w:iCs w:val="false"/>
          <w:sz w:val="22"/>
          <w:szCs w:val="22"/>
        </w:rPr>
        <w:t xml:space="preserve">Gwet, K.L., 2008. Computing inter-rater reliability and its variance in the presence of high agreement. British Journal of Mathematical and Statistical Psychology 61 (1), 29-48.</w:t>
      </w:r>
    </w:p>
    <w:p>
      <w:pPr>
        <w:spacing w:after="140" w:line="300"/>
        <w:jc w:val="left"/>
      </w:pPr>
      <w:r>
        <w:rPr>
          <w:rFonts w:ascii="Georgia" w:cs="Georgia" w:eastAsia="Georgia" w:hAnsi="Georgia"/>
          <w:b w:val="false"/>
          <w:bCs w:val="false"/>
          <w:i w:val="false"/>
          <w:iCs w:val="false"/>
          <w:sz w:val="22"/>
          <w:szCs w:val="22"/>
        </w:rPr>
        <w:t xml:space="preserve">Gwet, K.L., 2014. Handbook of Inter-Rater Reliability, fourth ed. Advanced Analytics, Gaithersburg, MD.</w:t>
      </w:r>
    </w:p>
    <w:p>
      <w:pPr>
        <w:spacing w:after="140" w:line="300"/>
        <w:jc w:val="left"/>
      </w:pPr>
      <w:r>
        <w:rPr>
          <w:rFonts w:ascii="Georgia" w:cs="Georgia" w:eastAsia="Georgia" w:hAnsi="Georgia"/>
          <w:b w:val="false"/>
          <w:bCs w:val="false"/>
          <w:i w:val="false"/>
          <w:iCs w:val="false"/>
          <w:sz w:val="22"/>
          <w:szCs w:val="22"/>
        </w:rPr>
        <w:t xml:space="preserve">Krippendorff, K., 2004. Content Analysis: An Introduction to Its Methodology, second ed. Sage, Thousand Oaks, CA.</w:t>
      </w:r>
    </w:p>
    <w:p>
      <w:pPr>
        <w:spacing w:after="140" w:line="300"/>
        <w:jc w:val="left"/>
      </w:pPr>
      <w:r>
        <w:rPr>
          <w:rFonts w:ascii="Georgia" w:cs="Georgia" w:eastAsia="Georgia" w:hAnsi="Georgia"/>
          <w:b w:val="false"/>
          <w:bCs w:val="false"/>
          <w:i w:val="false"/>
          <w:iCs w:val="false"/>
          <w:sz w:val="22"/>
          <w:szCs w:val="22"/>
        </w:rPr>
        <w:t xml:space="preserve">Landis, J.R., Koch, G.G., 1977. The measurement of observer agreement for categorical data. Biometrics 33 (1), 159-174.</w:t>
      </w:r>
    </w:p>
    <w:p>
      <w:pPr>
        <w:pStyle w:val="Heading1"/>
        <w:keepNext/>
        <w:spacing w:after="100" w:before="260"/>
      </w:pPr>
      <w:r>
        <w:rPr>
          <w:rFonts w:ascii="Georgia" w:cs="Georgia" w:eastAsia="Georgia" w:hAnsi="Georgia"/>
          <w:b/>
          <w:bCs/>
          <w:color w:val="1a1a1a"/>
          <w:sz w:val="26"/>
          <w:szCs w:val="26"/>
        </w:rPr>
        <w:t xml:space="preserve">Acknowledgments</w:t>
      </w:r>
    </w:p>
    <w:p>
      <w:pPr>
        <w:spacing w:after="140" w:line="300"/>
        <w:jc w:val="left"/>
      </w:pPr>
      <w:r>
        <w:rPr>
          <w:rFonts w:ascii="Georgia" w:cs="Georgia" w:eastAsia="Georgia" w:hAnsi="Georgia"/>
          <w:b w:val="false"/>
          <w:bCs w:val="false"/>
          <w:i w:val="false"/>
          <w:iCs w:val="false"/>
          <w:sz w:val="22"/>
          <w:szCs w:val="22"/>
        </w:rPr>
        <w:t xml:space="preserve">I thank the international reviewer panel for their care and independent judgment. Reviewers are recognized as named contributors with their consent; they are not co-authors of this paper. The proportionality principle described in Section 3 was surfaced by pilot reviewer Saurabh Nanda, General Manager and APAC Business Leader (Align Technology), and is credited with his permission.</w:t>
      </w:r>
    </w:p>
    <w:p>
      <w:pPr>
        <w:pStyle w:val="Heading1"/>
        <w:keepNext/>
        <w:spacing w:after="100" w:before="260"/>
      </w:pPr>
      <w:r>
        <w:rPr>
          <w:rFonts w:ascii="Georgia" w:cs="Georgia" w:eastAsia="Georgia" w:hAnsi="Georgia"/>
          <w:b/>
          <w:bCs/>
          <w:color w:val="1a1a1a"/>
          <w:sz w:val="26"/>
          <w:szCs w:val="26"/>
        </w:rPr>
        <w:t xml:space="preserve">Data availability and pre-registration</w:t>
      </w:r>
    </w:p>
    <w:p>
      <w:pPr>
        <w:spacing w:after="140" w:line="300"/>
        <w:jc w:val="left"/>
      </w:pPr>
      <w:r>
        <w:rPr>
          <w:rFonts w:ascii="Georgia" w:cs="Georgia" w:eastAsia="Georgia" w:hAnsi="Georgia"/>
          <w:b w:val="false"/>
          <w:bCs w:val="false"/>
          <w:i w:val="false"/>
          <w:iCs w:val="false"/>
          <w:sz w:val="22"/>
          <w:szCs w:val="22"/>
        </w:rPr>
        <w:t xml:space="preserve">The study protocol and analysis plan are pre-registered. Constructed records, the verified answer key and its verification packet, and aggregate results are available to reviewers under the study's data-availability terms. The answer key is held off the public site to protect the blind study. Live participation is tracked on an aggregate dashboard that shows counts only, never individual answers.</w:t>
      </w:r>
    </w:p>
    <w:p>
      <w:pPr>
        <w:pStyle w:val="Heading1"/>
        <w:keepNext/>
        <w:spacing w:after="100" w:before="260"/>
      </w:pPr>
      <w:r>
        <w:rPr>
          <w:rFonts w:ascii="Georgia" w:cs="Georgia" w:eastAsia="Georgia" w:hAnsi="Georgia"/>
          <w:b/>
          <w:bCs/>
          <w:color w:val="1a1a1a"/>
          <w:sz w:val="26"/>
          <w:szCs w:val="26"/>
        </w:rPr>
        <w:t xml:space="preserve">Progress log (per standing directive, all progress on this article is recorded here)</w:t>
      </w:r>
    </w:p>
    <w:p>
      <w:pPr>
        <w:spacing w:after="140" w:line="300"/>
        <w:jc w:val="left"/>
      </w:pPr>
      <w:r>
        <w:rPr>
          <w:rFonts w:ascii="Georgia" w:cs="Georgia" w:eastAsia="Georgia" w:hAnsi="Georgia"/>
          <w:b w:val="false"/>
          <w:bCs w:val="false"/>
          <w:i w:val="false"/>
          <w:iCs w:val="false"/>
          <w:sz w:val="22"/>
          <w:szCs w:val="22"/>
        </w:rPr>
        <w:t xml:space="preserve">- 2026-08-01 - </w:t>
      </w:r>
      <w:r>
        <w:rPr>
          <w:rFonts w:ascii="Georgia" w:cs="Georgia" w:eastAsia="Georgia" w:hAnsi="Georgia"/>
          <w:b/>
          <w:bCs/>
          <w:i w:val="false"/>
          <w:iCs w:val="false"/>
          <w:sz w:val="22"/>
          <w:szCs w:val="22"/>
        </w:rPr>
        <w:t xml:space="preserve">Gabriela Cortez removed as co-author (per Phillip's decision).</w:t>
      </w:r>
      <w:r>
        <w:rPr>
          <w:rFonts w:ascii="Georgia" w:cs="Georgia" w:eastAsia="Georgia" w:hAnsi="Georgia"/>
          <w:b w:val="false"/>
          <w:bCs w:val="false"/>
          <w:i w:val="false"/>
          <w:iCs w:val="false"/>
          <w:sz w:val="22"/>
          <w:szCs w:val="22"/>
        </w:rPr>
        <w:t xml:space="preserve"> Byline reduced to Wikes and Hossain; author-contributions statement rewritten (her normative-framing/Section-2.1 credit folded into P.W., who now carries that framing as the paper's own); Introduction opening de-personalized (removed the first-person intake-officer vignette, the "stand on business" motif, and the Spanish-translation recollection, retaining the underlying ideas: a record must be understandable to the people it affects, accessibility as part of reconstructability, and diverse/multilingual review -&gt; resilience -&gt; the international panel rationale); the Section 2.1 attribution note and the "stand on business" callbacks (Section 2 and Discussion) removed; Acknowledgments no longer name her. The section's ideas are retained but rewritten in the paper's voice, so no text or credit traces to her. NOTE: earlier historical entries in this log (2026-07-25) still record her prior addition; the manuscript body itself no longer connects to her. Companion artifacts that still reference her and were NOT touched here: DRR_Perspective_AIandEthics.md, CoverLetter_AIandEthics_DRR_Perspective.md, Cortez_CoAuthor_Invite.md, Reference_Gabriela_Cortez.md, Message_Gabriela_Cortez.md, and the submission/ status maps.</w:t>
      </w:r>
    </w:p>
    <w:p>
      <w:pPr>
        <w:spacing w:after="140" w:line="300"/>
        <w:jc w:val="left"/>
      </w:pPr>
      <w:r>
        <w:rPr>
          <w:rFonts w:ascii="Georgia" w:cs="Georgia" w:eastAsia="Georgia" w:hAnsi="Georgia"/>
          <w:b w:val="false"/>
          <w:bCs w:val="false"/>
          <w:i w:val="false"/>
          <w:iCs w:val="false"/>
          <w:sz w:val="22"/>
          <w:szCs w:val="22"/>
        </w:rPr>
        <w:t xml:space="preserve">- 2026-07-25 - Introduction opening reframed into Gabi's FIRST-PERSON voice (proposed draft, flagged for her review/ownership; "As a new intake officer at a civil rights commission, I wanted to be sure..."), replacing Phillip's "my mentee Gabi" framing. Grounds only verified facts (new intake officer / complaint drafting; Spanish/bilingual intake; "stand on business"; diversity-&gt;resilience-&gt;international panel). OPEN: she must confirm/rewrite the recollections in her own words, and the manuscript must adopt one first-person convention (Gabi's vignette vs Phillip's later "I") once co-authorship is finalized. On incorporating concepts from the Evidentiary-Deficit legal article: person-side accountability concept already sits in Section 2.1; keep the legal machinery (discovery, case law, GDPR/AI Act specifics) OUT of this empirical paper and let the legal article own the "Right to Know Why" naming; cross-reference the companion piece rather than duplicate (avoid self-plagiarism).</w:t>
      </w:r>
    </w:p>
    <w:p>
      <w:pPr>
        <w:spacing w:after="140" w:line="300"/>
        <w:jc w:val="left"/>
      </w:pPr>
      <w:r>
        <w:rPr>
          <w:rFonts w:ascii="Georgia" w:cs="Georgia" w:eastAsia="Georgia" w:hAnsi="Georgia"/>
          <w:b w:val="false"/>
          <w:bCs w:val="false"/>
          <w:i w:val="false"/>
          <w:iCs w:val="false"/>
          <w:sz w:val="22"/>
          <w:szCs w:val="22"/>
        </w:rPr>
        <w:t xml:space="preserve">- 2026-07-25 - Gabriela Cortez (V-AI-08, "Gabi") opened as EARNED co-author (per Phillip). Byline adds her (Phillip lead, then alphabetical Cortez/Hossain); author-contributions statement credits her with the normative framing (record understandable to the affected person; diverse/multilingual panel rationale) and DISCLOSES her dual role (data-contributing reviewer AND author on the conceptual/writing contribution, not on her own reads); new Section 2.1 "The record and the person it describes" is her lane to develop (shared framing paragraph provided, Bar/Section-V pattern); Acknowledgments updated so she is not double-counted. INTEGRITY CONDITION (earned, not courtesy): authorship becomes final on her written contribution to Section 2.1/Introduction and her review + approval of the manuscript; confirm her preferred name/affiliation line and align the Introduction's "my mentee, Gabi" narrative voice with her once she accepts. Invitation: `research/Cortez_CoAuthor_Invite.md`.</w:t>
      </w:r>
    </w:p>
    <w:p>
      <w:pPr>
        <w:spacing w:after="140" w:line="300"/>
        <w:jc w:val="left"/>
      </w:pPr>
      <w:r>
        <w:rPr>
          <w:rFonts w:ascii="Georgia" w:cs="Georgia" w:eastAsia="Georgia" w:hAnsi="Georgia"/>
          <w:b w:val="false"/>
          <w:bCs w:val="false"/>
          <w:i w:val="false"/>
          <w:iCs w:val="false"/>
          <w:sz w:val="22"/>
          <w:szCs w:val="22"/>
        </w:rPr>
        <w:t xml:space="preserve">- 2026-07-25 - Ubayet Hossain elevated from "methodology advisor" to CO-AUTHOR (per Phillip), consistent with the standing policy that he is co-author on each paper that uses his methodology; his framework (reference-panel design, chance-corrected statistics, pre-registered floors) is the validation core of this paper. Byline + author-contributions statement updated; acknowledgment of him as a thanked contributor removed. INTEGRITY CONDITION (earned authorship): send him THIS manuscript for review and sign-off before submission; his approval of this specific paper is what makes the co-authorship earned rather than courtesy.</w:t>
      </w:r>
    </w:p>
    <w:p>
      <w:pPr>
        <w:spacing w:after="140" w:line="300"/>
        <w:jc w:val="left"/>
      </w:pPr>
      <w:r>
        <w:rPr>
          <w:rFonts w:ascii="Georgia" w:cs="Georgia" w:eastAsia="Georgia" w:hAnsi="Georgia"/>
          <w:b w:val="false"/>
          <w:bCs w:val="false"/>
          <w:i w:val="false"/>
          <w:iCs w:val="false"/>
          <w:sz w:val="22"/>
          <w:szCs w:val="22"/>
        </w:rPr>
        <w:t xml:space="preserve">- 2026-07-25 - Integrated the two outreach-campaign framings as academic significance (NOT marketing): added a dual-stakes paragraph to the Introduction (accountability to the person / defensibility for the institution, one and the same defect) and extended the Discussion to state the two-directional implication. This aligns the paper's significance with the two sister campaigns (The Right to Know Why; The Decisions You Can Defend) in substance. Results remain gated; Arm B blind protected; no effectiveness claim; fixed banned "frequently" -&gt; "often"; no long dashes.</w:t>
      </w:r>
    </w:p>
    <w:p>
      <w:pPr>
        <w:spacing w:after="140" w:line="300"/>
        <w:jc w:val="left"/>
      </w:pPr>
      <w:r>
        <w:rPr>
          <w:rFonts w:ascii="Georgia" w:cs="Georgia" w:eastAsia="Georgia" w:hAnsi="Georgia"/>
          <w:b w:val="false"/>
          <w:bCs w:val="false"/>
          <w:i w:val="false"/>
          <w:iCs w:val="false"/>
          <w:sz w:val="22"/>
          <w:szCs w:val="22"/>
        </w:rPr>
        <w:t xml:space="preserve">- 2026-07-28 - </w:t>
      </w:r>
      <w:r>
        <w:rPr>
          <w:rFonts w:ascii="Georgia" w:cs="Georgia" w:eastAsia="Georgia" w:hAnsi="Georgia"/>
          <w:b/>
          <w:bCs/>
          <w:i w:val="false"/>
          <w:iCs w:val="false"/>
          <w:sz w:val="22"/>
          <w:szCs w:val="22"/>
        </w:rPr>
        <w:t xml:space="preserve">PANEL NUMBERS RE-VERIFIED against the live DB</w:t>
      </w:r>
      <w:r>
        <w:rPr>
          <w:rFonts w:ascii="Georgia" w:cs="Georgia" w:eastAsia="Georgia" w:hAnsi="Georgia"/>
          <w:b w:val="false"/>
          <w:bCs w:val="false"/>
          <w:i w:val="false"/>
          <w:iCs w:val="false"/>
          <w:sz w:val="22"/>
          <w:szCs w:val="22"/>
        </w:rPr>
        <w:t xml:space="preserve"> (`check_completion.py` -&gt; `pilot_progress`/`armb_progress`, 2026-07-28). Corrected the stale "24 registered, 7 complete" carried from the 2026-07-13 draft. Current, DB-verified: detection panel (Arm A) 12 complete of ~26 registered (Niloofar 22/24 in progress), completers spanning 10 countries on 5 continents; Arm B 7 complete (3 JRS condition, 4 baseline), 1 in progress. Updated Sections 4.3 and 5.2. Primary results remain gated. Separately flagged: RR-107 completed but was never logged/recognized.</w:t>
      </w:r>
    </w:p>
    <w:p>
      <w:pPr>
        <w:spacing w:after="140" w:line="300"/>
        <w:jc w:val="left"/>
      </w:pPr>
      <w:r>
        <w:rPr>
          <w:rFonts w:ascii="Georgia" w:cs="Georgia" w:eastAsia="Georgia" w:hAnsi="Georgia"/>
          <w:b w:val="false"/>
          <w:bCs w:val="false"/>
          <w:i w:val="false"/>
          <w:iCs w:val="false"/>
          <w:sz w:val="22"/>
          <w:szCs w:val="22"/>
        </w:rPr>
        <w:t xml:space="preserve">- 2026-07-27 - </w:t>
      </w:r>
      <w:r>
        <w:rPr>
          <w:rFonts w:ascii="Georgia" w:cs="Georgia" w:eastAsia="Georgia" w:hAnsi="Georgia"/>
          <w:b/>
          <w:bCs/>
          <w:i w:val="false"/>
          <w:iCs w:val="false"/>
          <w:sz w:val="22"/>
          <w:szCs w:val="22"/>
        </w:rPr>
        <w:t xml:space="preserve">CONSOLIDATION: the standalone Rungs 1-2 reliability/reproducibility paper was merged into this international paper</w:t>
      </w:r>
      <w:r>
        <w:rPr>
          <w:rFonts w:ascii="Georgia" w:cs="Georgia" w:eastAsia="Georgia" w:hAnsi="Georgia"/>
          <w:b w:val="false"/>
          <w:bCs w:val="false"/>
          <w:i w:val="false"/>
          <w:iCs w:val="false"/>
          <w:sz w:val="22"/>
          <w:szCs w:val="22"/>
        </w:rPr>
        <w:t xml:space="preserve"> (Phillip's decision to publish one comprehensive artifact rather than a separate short paper). Folded in as complete SUPPORTING results: new Section 4.7 (methods for reproducibility + reliability, naming the three cross-vendor models Anthropic claude-opus-4-8 / OpenAI gpt-5 / Google Gemini) and new Section 5.1 (results: 84% cross-vendor pairwise agreement; expert AC1 0.74 [0.40-1.00], reviewer 0.63 [0.26-1.00]; Krippendorff/Fleiss with the kappa-paradox note; per-condition AC1; interim 10-of-~26 records, floor on the 0.41 boundary). Abstract split into complete Supporting results vs gated Primary results. Added a References section (8 canonical stats sources). All figures verified against the study database and reproduced by `research/compute_ac1_ci.py`. The two PRIMARY analyses (detection accuracy, Arm B) remain gated; Arm B blind protected (no arm assignments or per-record answers disclosed). The standalone package in `research/submission/` is retained as a fallback but is superseded by this combined paper.</w:t>
      </w:r>
    </w:p>
    <w:p>
      <w:pPr>
        <w:spacing w:after="140" w:line="300"/>
        <w:jc w:val="left"/>
      </w:pPr>
      <w:r>
        <w:rPr>
          <w:rFonts w:ascii="Georgia" w:cs="Georgia" w:eastAsia="Georgia" w:hAnsi="Georgia"/>
          <w:b w:val="false"/>
          <w:bCs w:val="false"/>
          <w:i w:val="false"/>
          <w:iCs w:val="false"/>
          <w:sz w:val="22"/>
          <w:szCs w:val="22"/>
        </w:rPr>
        <w:t xml:space="preserve">- 2026-07-13 - Draft created from the pre-registered detection protocol (`DRR_Detection_Validation_Protocol.md`), the Arm B design spec (`ArmB_Design.md`), and the pre-registered analysis plan (`JRS_PreRegistered_Analysis_Plan.md`). Introduction incorporates the author's mentorship narrative (Gabi). Target journal: AI and Ethics. Results gated until the detection panel completes and Arm B is run. Author number for the panel stated as the verified current count (24 registered, 7 complete); the earlier "22" in the author's narrative was updated to keep the manuscript internally consistent with Methods.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2026-08-01T23:12:05.627Z</dcterms:created>
  <dcterms:modified xsi:type="dcterms:W3CDTF">2026-08-01T23:12:05.646Z</dcterms:modified>
</cp:coreProperties>
</file>

<file path=docProps/custom.xml><?xml version="1.0" encoding="utf-8"?>
<Properties xmlns="http://schemas.openxmlformats.org/officeDocument/2006/custom-properties" xmlns:vt="http://schemas.openxmlformats.org/officeDocument/2006/docPropsVTypes"/>
</file>